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55"/>
        <w:gridCol w:w="4283"/>
      </w:tblGrid>
      <w:tr>
        <w:trPr/>
        <w:tc>
          <w:tcPr>
            <w:tcW w:w="535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0" w:leader="none"/>
              </w:tabs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4283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УТВЕРЖДЕН               постановлением администрации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Старотитаровского сельского поселения Темрюкского района</w:t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  <w:t>от _____________№ ______</w:t>
            </w:r>
          </w:p>
          <w:p>
            <w:pPr>
              <w:pStyle w:val="Normal"/>
              <w:widowControl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ПЛАН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мероприятий по противодействию коррупции в </w:t>
      </w:r>
      <w:r>
        <w:rPr>
          <w:rFonts w:eastAsia="Times New Roman" w:cs="Times New Roman"/>
          <w:b/>
          <w:sz w:val="28"/>
          <w:szCs w:val="24"/>
          <w:lang w:eastAsia="ru-RU"/>
        </w:rPr>
        <w:t>Старотитаровском сельском поселении Темрюкского района</w:t>
      </w:r>
    </w:p>
    <w:p>
      <w:pPr>
        <w:pStyle w:val="Normal"/>
        <w:rPr/>
      </w:pPr>
      <w:r>
        <w:rP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6"/>
        <w:gridCol w:w="3545"/>
        <w:gridCol w:w="1417"/>
        <w:gridCol w:w="1559"/>
        <w:gridCol w:w="2552"/>
      </w:tblGrid>
      <w:tr>
        <w:trPr>
          <w:trHeight w:val="28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hanging="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Мероприятие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Срок 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Ответственный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исполнитель</w:t>
            </w:r>
          </w:p>
        </w:tc>
      </w:tr>
      <w:tr>
        <w:trPr>
          <w:trHeight w:val="2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5</w:t>
            </w:r>
          </w:p>
        </w:tc>
      </w:tr>
      <w:tr>
        <w:trPr>
          <w:trHeight w:val="589" w:hRule="atLeast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bookmarkStart w:id="1" w:name="_GoBack"/>
            <w:bookmarkStart w:id="2" w:name="sub_1041"/>
            <w:bookmarkEnd w:id="1"/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1. Оценка восприятия уровня коррупции и мониторинг коррупционных рисков</w:t>
            </w:r>
            <w:bookmarkEnd w:id="2"/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Оценка восприятия уровня коррупции в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Старотитаровском сельском поселении Темрюкского района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размещение результатов в средствах массовой информации и на официальн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ом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сайт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е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Проведение мониторинга коррупционных рисков в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Старотитаровском сельском поселении Темрюкского района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размещение результатов в средствах массовой информации и на официальн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ом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сайт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е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/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2. Противодействие коррупции в  </w:t>
            </w:r>
            <w:r>
              <w:rPr>
                <w:rFonts w:eastAsia="Times New Roman" w:cs="Times New Roman" w:ascii="Times New Roman" w:hAnsi="Times New Roman"/>
                <w:b w:val="false"/>
                <w:sz w:val="28"/>
                <w:szCs w:val="28"/>
                <w:lang w:eastAsia="ru-RU"/>
              </w:rPr>
              <w:t>Старотитаровском сельском поселении Темрюкского района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противодействии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связанные с соблюдением антикоррупционных стандартов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Организация мероприятий по профессиональному развитию в области противодействия коррупции для муниципальных служащих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 руководителей муниципальных учреждений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, в должностные обязанности которых входит участие в проведении закупок товаров, работ, услуг для обеспечения муниципальных нужд,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Осуществление проверок достоверности и полноты сведений о доходах,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коррупции, в отношении лиц, замещающих должности муниципальной службы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(работодателя) о выполнении иной оплачиваемой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Мониторинг исполнения муниципальными служащими обязанности передавать принадлежащие им ценные бумаги (доли - участия, паи в уставных (складочных) капиталах организаций) в доверительное управление в целях предотвращения или урегулирования конфликта интересов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Мониторинг соблюдения порядка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>
          <w:trHeight w:val="235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в установленном порядке мониторинга правоприменения муниципальных нормативных правовых актов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Cs w:val="28"/>
                <w:lang w:eastAsia="en-US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  <w:r>
              <w:rPr>
                <w:szCs w:val="28"/>
              </w:rPr>
              <w:t xml:space="preserve">, </w:t>
            </w:r>
            <w:r>
              <w:rPr>
                <w:rFonts w:eastAsia="Calibri" w:eastAsiaTheme="minorHAnsi"/>
                <w:szCs w:val="28"/>
                <w:lang w:eastAsia="en-US"/>
              </w:rPr>
              <w:t xml:space="preserve">отраслевые (функциональные) органы администрации </w:t>
            </w:r>
            <w:r>
              <w:rPr>
                <w:rFonts w:eastAsia="Calibri" w:cs="Times New Roman" w:eastAsiaTheme="minorHAnsi"/>
                <w:sz w:val="28"/>
                <w:szCs w:val="28"/>
                <w:lang w:eastAsia="en-US"/>
              </w:rPr>
              <w:t>Старотитаровского сельского поселения Темрюкского района</w:t>
            </w:r>
            <w:r>
              <w:rPr>
                <w:rFonts w:eastAsia="Calibri" w:eastAsiaTheme="minorHAnsi"/>
                <w:szCs w:val="28"/>
                <w:lang w:eastAsia="en-US"/>
              </w:rPr>
              <w:t>(далее - отраслевые (функциональные) органы)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Принятие (издание), изменение или признание утратившими силу (отмена) муниципальных нормативных правовых актов, направленных на устранение нарушений, выявленных при мониторинге правоприменения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ind w:right="-108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 (по итогам реализации пункта 4.2.13)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ind w:right="-108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ind w:right="-108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ind w:right="-108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 w:eastAsiaTheme="minorHAnsi"/>
                <w:sz w:val="28"/>
                <w:szCs w:val="28"/>
                <w:lang w:eastAsia="en-US"/>
              </w:rPr>
              <w:t>Отраслевые (функциональные) органы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4215"/>
            <w:r>
              <w:rPr>
                <w:rFonts w:cs="Times New Roman" w:ascii="Times New Roman" w:hAnsi="Times New Roman"/>
                <w:sz w:val="28"/>
                <w:szCs w:val="28"/>
              </w:rPr>
              <w:t>2.15</w:t>
            </w:r>
            <w:bookmarkEnd w:id="3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Проведение комплекса 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аренду, внесения в уставный капитал или паевой фонд организации имущественного взноса, а также при приобретении объектов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Отдел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имущественных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отношений и вопросов жилищно- коммунального хозяйства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Мониторинг соблюдения законодательства Российской Федерации о противодействии коррупции в  муниципальных учреждениях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Организация работы по рассмотрению сообщений, поступивших по различным каналам получения информации («горячая линия»,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Общий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ind w:left="-108" w:right="-108" w:hanging="0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Создание и продвижение 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Отраслевые (функциональные) органы,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о</w:t>
            </w: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  <w:t xml:space="preserve">бщий отдел администрации Старотитаровского сельского поселения Темрюкского района 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ind w:left="-108"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 итогам полугодия и года,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июля</w:t>
            </w:r>
          </w:p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Заместители главы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Старотитаровского сельского поселения Темрюкского района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о</w:t>
            </w:r>
            <w:r>
              <w:rPr>
                <w:rFonts w:eastAsia="Times New Roman" w:cs="Times New Roman" w:ascii="Times New Roman" w:hAnsi="Times New Roman"/>
                <w:sz w:val="28"/>
                <w:szCs w:val="24"/>
                <w:lang w:eastAsia="ru-RU"/>
              </w:rPr>
              <w:t xml:space="preserve">бщий отдел администрации Старотитаровского сельского поселения Темрюкского района 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eastAsia="Times New Roman" w:cs="Times New Roman"/>
          <w:sz w:val="28"/>
          <w:szCs w:val="24"/>
          <w:lang w:eastAsia="ru-RU"/>
        </w:rPr>
        <w:t xml:space="preserve">Глава Старотитаровского сельского </w:t>
      </w:r>
    </w:p>
    <w:p>
      <w:pPr>
        <w:pStyle w:val="Normal"/>
        <w:rPr/>
      </w:pPr>
      <w:r>
        <w:rPr>
          <w:rFonts w:eastAsia="Times New Roman" w:cs="Times New Roman"/>
          <w:sz w:val="28"/>
          <w:szCs w:val="24"/>
          <w:lang w:eastAsia="ru-RU"/>
        </w:rPr>
        <w:t>поселения Темрюкского района                                                    А.Г. Титаренко</w:t>
      </w:r>
      <w:r>
        <w:rPr/>
        <w:tab/>
        <w:tab/>
        <w:tab/>
        <w:tab/>
        <w:tab/>
        <w:tab/>
        <w:t xml:space="preserve">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567" w:header="709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39372315"/>
    </w:sdtPr>
    <w:sdtContent>
      <w:p>
        <w:pPr>
          <w:pStyle w:val="Style27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 PAGE </w:instrText>
        </w:r>
        <w:r>
          <w:rPr>
            <w:sz w:val="24"/>
          </w:rPr>
          <w:fldChar w:fldCharType="separate"/>
        </w:r>
        <w:r>
          <w:rPr>
            <w:sz w:val="24"/>
          </w:rPr>
          <w:t>8</w:t>
        </w:r>
        <w:r>
          <w:rPr>
            <w:sz w:val="24"/>
          </w:rPr>
          <w:fldChar w:fldCharType="end"/>
        </w:r>
      </w:p>
    </w:sdtContent>
  </w:sdt>
  <w:tbl>
    <w:tblPr>
      <w:tblW w:w="9639" w:type="dxa"/>
      <w:jc w:val="left"/>
      <w:tblInd w:w="109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566"/>
      <w:gridCol w:w="3545"/>
      <w:gridCol w:w="1417"/>
      <w:gridCol w:w="1559"/>
      <w:gridCol w:w="2552"/>
    </w:tblGrid>
    <w:tr>
      <w:trPr>
        <w:trHeight w:val="281" w:hRule="atLeast"/>
        <w:cantSplit w:val="true"/>
      </w:trPr>
      <w:tc>
        <w:tcPr>
          <w:tcW w:w="566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>
          <w:pPr>
            <w:pStyle w:val="1"/>
            <w:widowControl w:val="false"/>
            <w:spacing w:before="108" w:after="108"/>
            <w:rPr>
              <w:rFonts w:ascii="Times New Roman" w:hAnsi="Times New Roman" w:cs="Times New Roman"/>
              <w:b w:val="false"/>
              <w:b w:val="false"/>
              <w:sz w:val="28"/>
              <w:szCs w:val="28"/>
            </w:rPr>
          </w:pPr>
          <w:r>
            <w:rPr>
              <w:rFonts w:cs="Times New Roman" w:ascii="Times New Roman" w:hAnsi="Times New Roman"/>
              <w:b w:val="false"/>
              <w:sz w:val="28"/>
              <w:szCs w:val="28"/>
            </w:rPr>
            <w:t>1</w:t>
          </w:r>
        </w:p>
      </w:tc>
      <w:tc>
        <w:tcPr>
          <w:tcW w:w="3545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>
          <w:pPr>
            <w:pStyle w:val="1"/>
            <w:widowControl w:val="false"/>
            <w:spacing w:before="108" w:after="108"/>
            <w:rPr>
              <w:rFonts w:ascii="Times New Roman" w:hAnsi="Times New Roman" w:cs="Times New Roman"/>
              <w:b w:val="false"/>
              <w:b w:val="false"/>
              <w:sz w:val="28"/>
              <w:szCs w:val="28"/>
            </w:rPr>
          </w:pPr>
          <w:r>
            <w:rPr>
              <w:rFonts w:cs="Times New Roman" w:ascii="Times New Roman" w:hAnsi="Times New Roman"/>
              <w:b w:val="false"/>
              <w:sz w:val="28"/>
              <w:szCs w:val="28"/>
            </w:rPr>
            <w:t>2</w:t>
          </w: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>
          <w:pPr>
            <w:pStyle w:val="1"/>
            <w:widowControl w:val="false"/>
            <w:spacing w:before="108" w:after="108"/>
            <w:rPr>
              <w:rFonts w:ascii="Times New Roman" w:hAnsi="Times New Roman" w:cs="Times New Roman"/>
              <w:b w:val="false"/>
              <w:b w:val="false"/>
              <w:sz w:val="28"/>
              <w:szCs w:val="28"/>
            </w:rPr>
          </w:pPr>
          <w:r>
            <w:rPr>
              <w:rFonts w:cs="Times New Roman" w:ascii="Times New Roman" w:hAnsi="Times New Roman"/>
              <w:b w:val="false"/>
              <w:sz w:val="28"/>
              <w:szCs w:val="28"/>
            </w:rPr>
            <w:t>3</w:t>
          </w:r>
        </w:p>
      </w:tc>
      <w:tc>
        <w:tcPr>
          <w:tcW w:w="1559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>
          <w:pPr>
            <w:pStyle w:val="1"/>
            <w:widowControl w:val="false"/>
            <w:spacing w:before="108" w:after="108"/>
            <w:rPr>
              <w:rFonts w:ascii="Times New Roman" w:hAnsi="Times New Roman" w:cs="Times New Roman"/>
              <w:b w:val="false"/>
              <w:b w:val="false"/>
              <w:sz w:val="28"/>
              <w:szCs w:val="28"/>
            </w:rPr>
          </w:pPr>
          <w:r>
            <w:rPr>
              <w:rFonts w:cs="Times New Roman" w:ascii="Times New Roman" w:hAnsi="Times New Roman"/>
              <w:b w:val="false"/>
              <w:sz w:val="28"/>
              <w:szCs w:val="28"/>
            </w:rPr>
            <w:t>4</w:t>
          </w:r>
        </w:p>
      </w:tc>
      <w:tc>
        <w:tcPr>
          <w:tcW w:w="2552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>
          <w:pPr>
            <w:pStyle w:val="1"/>
            <w:widowControl w:val="false"/>
            <w:spacing w:before="108" w:after="108"/>
            <w:rPr>
              <w:rFonts w:ascii="Times New Roman" w:hAnsi="Times New Roman" w:cs="Times New Roman"/>
              <w:b w:val="false"/>
              <w:b w:val="false"/>
              <w:sz w:val="28"/>
              <w:szCs w:val="28"/>
            </w:rPr>
          </w:pPr>
          <w:r>
            <w:rPr>
              <w:rFonts w:cs="Times New Roman" w:ascii="Times New Roman" w:hAnsi="Times New Roman"/>
              <w:b w:val="false"/>
              <w:sz w:val="28"/>
              <w:szCs w:val="28"/>
            </w:rPr>
            <w:t>5</w:t>
          </w:r>
        </w:p>
      </w:tc>
    </w:tr>
  </w:tbl>
  <w:p>
    <w:pPr>
      <w:pStyle w:val="12"/>
      <w:rPr/>
    </w:pPr>
    <w:r>
      <w:rPr/>
    </w:r>
  </w:p>
</w:hdr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6c6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690590"/>
    <w:pPr>
      <w:widowControl w:val="false"/>
      <w:spacing w:before="108" w:after="108"/>
      <w:jc w:val="center"/>
      <w:outlineLvl w:val="0"/>
    </w:pPr>
    <w:rPr>
      <w:rFonts w:ascii="Arial" w:hAnsi="Arial" w:eastAsia="" w:cs="Arial" w:eastAsiaTheme="minorEastAsia"/>
      <w:b/>
      <w:bCs/>
      <w:color w:val="26282F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Сравнение редакций. Добавленный фрагмент"/>
    <w:uiPriority w:val="99"/>
    <w:qFormat/>
    <w:rsid w:val="00916c85"/>
    <w:rPr>
      <w:color w:val="000000"/>
      <w:shd w:fill="C1D7FF" w:val="clear"/>
    </w:rPr>
  </w:style>
  <w:style w:type="character" w:styleId="Style14" w:customStyle="1">
    <w:name w:val="Цветовое выделение"/>
    <w:uiPriority w:val="99"/>
    <w:qFormat/>
    <w:rsid w:val="00916c85"/>
    <w:rPr>
      <w:b/>
      <w:bCs/>
      <w:color w:val="26282F"/>
    </w:rPr>
  </w:style>
  <w:style w:type="character" w:styleId="Style15" w:customStyle="1">
    <w:name w:val="Гипертекстовая ссылка"/>
    <w:uiPriority w:val="99"/>
    <w:qFormat/>
    <w:rsid w:val="00916c85"/>
    <w:rPr>
      <w:b w:val="false"/>
      <w:bCs w:val="false"/>
      <w:color w:val="106BBE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qFormat/>
    <w:rsid w:val="00c23ec1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rsid w:val="00125e5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8" w:customStyle="1">
    <w:name w:val="Нижний колонтитул Знак"/>
    <w:basedOn w:val="DefaultParagraphFont"/>
    <w:link w:val="ad"/>
    <w:uiPriority w:val="99"/>
    <w:qFormat/>
    <w:rsid w:val="00125e5c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uiPriority w:val="99"/>
    <w:qFormat/>
    <w:rsid w:val="00690590"/>
    <w:rPr>
      <w:rFonts w:ascii="Arial" w:hAnsi="Arial" w:eastAsia="" w:cs="Arial" w:eastAsiaTheme="minorEastAsia"/>
      <w:b/>
      <w:bCs/>
      <w:color w:val="26282F"/>
      <w:sz w:val="24"/>
      <w:szCs w:val="24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Style24" w:customStyle="1">
    <w:name w:val="Нормальный (таблица)"/>
    <w:basedOn w:val="Normal"/>
    <w:next w:val="Normal"/>
    <w:uiPriority w:val="99"/>
    <w:qFormat/>
    <w:rsid w:val="00916c85"/>
    <w:pPr>
      <w:widowControl w:val="false"/>
      <w:jc w:val="both"/>
    </w:pPr>
    <w:rPr>
      <w:rFonts w:ascii="Arial" w:hAnsi="Arial" w:cs="Arial"/>
      <w:sz w:val="24"/>
    </w:rPr>
  </w:style>
  <w:style w:type="paragraph" w:styleId="Style25" w:customStyle="1">
    <w:name w:val="Прижатый влево"/>
    <w:basedOn w:val="Normal"/>
    <w:next w:val="Normal"/>
    <w:uiPriority w:val="99"/>
    <w:qFormat/>
    <w:rsid w:val="00916c85"/>
    <w:pPr>
      <w:widowControl w:val="false"/>
    </w:pPr>
    <w:rPr>
      <w:rFonts w:ascii="Arial" w:hAnsi="Arial" w:cs="Arial"/>
      <w:sz w:val="24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c23ec1"/>
    <w:pPr/>
    <w:rPr>
      <w:rFonts w:ascii="Tahoma" w:hAnsi="Tahoma" w:cs="Tahoma"/>
      <w:sz w:val="16"/>
      <w:szCs w:val="16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c"/>
    <w:uiPriority w:val="99"/>
    <w:unhideWhenUsed/>
    <w:rsid w:val="00125e5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e"/>
    <w:uiPriority w:val="99"/>
    <w:unhideWhenUsed/>
    <w:rsid w:val="00125e5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2" w:customStyle="1">
    <w:name w:val="Стиль1"/>
    <w:basedOn w:val="Normal"/>
    <w:qFormat/>
    <w:rsid w:val="00fb4150"/>
    <w:pPr>
      <w:spacing w:lineRule="auto" w:line="12"/>
    </w:pPr>
    <w:rPr>
      <w:sz w:val="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0F9C0-2763-4507-A6FD-7A5D6BAF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Application>LibreOffice/7.1.2.2$Windows_X86_64 LibreOffice_project/8a45595d069ef5570103caea1b71cc9d82b2aae4</Application>
  <AppVersion>15.0000</AppVersion>
  <Pages>8</Pages>
  <Words>1163</Words>
  <Characters>8472</Characters>
  <CharactersWithSpaces>9568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2017-06-01T13:53:00Z</dcterms:created>
  <dc:creator>Shilling Tatyana Ilinichna</dc:creator>
  <dc:description/>
  <dc:language>ru-RU</dc:language>
  <cp:lastModifiedBy/>
  <cp:lastPrinted>2021-10-01T10:39:35Z</cp:lastPrinted>
  <dcterms:modified xsi:type="dcterms:W3CDTF">2021-10-01T10:40:44Z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