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B7D66" w:rsidRPr="00F945BC" w:rsidTr="00F945BC">
        <w:tc>
          <w:tcPr>
            <w:tcW w:w="8934" w:type="dxa"/>
          </w:tcPr>
          <w:p w:rsidR="00BB7D66" w:rsidRPr="00F945BC" w:rsidRDefault="00BB7D6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B7D66" w:rsidRPr="00EE5BAC" w:rsidRDefault="00BB7D6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BB7D66" w:rsidRPr="00EE5BAC" w:rsidRDefault="00BB7D6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BB7D66" w:rsidRPr="00EE5BAC" w:rsidRDefault="00BB7D6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BB7D66" w:rsidRPr="00EE5BAC" w:rsidRDefault="00BB7D6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B7D66" w:rsidRPr="00EE5BAC" w:rsidRDefault="00BB7D6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B7D66" w:rsidRDefault="00BB7D6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227</w:t>
            </w:r>
          </w:p>
          <w:p w:rsidR="00BB7D66" w:rsidRPr="00F945BC" w:rsidRDefault="00BB7D6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BB7D66" w:rsidRPr="00885C29" w:rsidRDefault="00BB7D66" w:rsidP="001157F7"/>
    <w:p w:rsidR="00BB7D66" w:rsidRDefault="00BB7D6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B7D66" w:rsidRDefault="00BB7D66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B7D66" w:rsidRDefault="00BB7D66" w:rsidP="00BB769B">
      <w:pPr>
        <w:jc w:val="center"/>
        <w:rPr>
          <w:b/>
          <w:szCs w:val="28"/>
        </w:rPr>
      </w:pPr>
    </w:p>
    <w:p w:rsidR="00BB7D66" w:rsidRPr="00950972" w:rsidRDefault="00BB7D6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B7D66" w:rsidRDefault="00BB7D66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B7D66" w:rsidRPr="00950972" w:rsidRDefault="00BB7D66" w:rsidP="00BB769B">
      <w:pPr>
        <w:jc w:val="center"/>
        <w:rPr>
          <w:b/>
          <w:szCs w:val="28"/>
        </w:rPr>
      </w:pPr>
    </w:p>
    <w:p w:rsidR="00BB7D66" w:rsidRPr="00950972" w:rsidRDefault="00BB7D6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B7D66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BB7D66" w:rsidRPr="00855115" w:rsidRDefault="00BB7D66" w:rsidP="00F9512D">
            <w:pPr>
              <w:rPr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B7D66" w:rsidRPr="0096600F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BB7D66" w:rsidRDefault="00BB7D66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  <w:p w:rsidR="00BB7D66" w:rsidRPr="0096600F" w:rsidRDefault="00BB7D66" w:rsidP="00F9512D">
            <w:pPr>
              <w:rPr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B7D66" w:rsidRDefault="00BB7D6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BB7D66" w:rsidRPr="00190885" w:rsidRDefault="00BB7D66" w:rsidP="00F9512D">
            <w:pPr>
              <w:rPr>
                <w:b/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B7D66" w:rsidRPr="00E823BE" w:rsidRDefault="00BB7D6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 «Материально-техническое обеспечение и содержание администрации Старотитаровского сельского поселения Темрюкского района»;</w:t>
            </w:r>
          </w:p>
          <w:p w:rsidR="00BB7D66" w:rsidRPr="00E823BE" w:rsidRDefault="00BB7D6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BB7D66" w:rsidRPr="00E823BE" w:rsidRDefault="00BB7D6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3.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E823BE">
              <w:rPr>
                <w:szCs w:val="28"/>
              </w:rPr>
              <w:t>»;</w:t>
            </w:r>
          </w:p>
          <w:p w:rsidR="00BB7D66" w:rsidRDefault="00BB7D6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4.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BB7D66" w:rsidRPr="00190885" w:rsidRDefault="00BB7D66" w:rsidP="00F9512D">
            <w:pPr>
              <w:rPr>
                <w:b/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B7D66" w:rsidRPr="005F0511" w:rsidRDefault="00BB7D66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BB7D66" w:rsidRPr="00190885" w:rsidRDefault="00BB7D66" w:rsidP="00F9512D">
            <w:pPr>
              <w:rPr>
                <w:b/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B7D66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>- создание благоприятных условий для эффективного функционирования органов местного самоуправления Старотитаровского сельского поселения</w:t>
            </w:r>
            <w:r w:rsidRPr="00E6543F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E6543F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а;</w:t>
            </w:r>
          </w:p>
          <w:p w:rsidR="00BB7D66" w:rsidRDefault="00BB7D66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BB7D66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BB7D66" w:rsidRDefault="00BB7D66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BB7D66" w:rsidRPr="009F22D5" w:rsidRDefault="00BB7D66" w:rsidP="00F9512D">
            <w:pPr>
              <w:rPr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B7D66" w:rsidRPr="000C3C23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B7D66" w:rsidRDefault="00BB7D66" w:rsidP="00F9512D">
            <w:pPr>
              <w:rPr>
                <w:szCs w:val="28"/>
              </w:rPr>
            </w:pPr>
            <w:r w:rsidRPr="003B4B63">
              <w:rPr>
                <w:szCs w:val="28"/>
              </w:rPr>
              <w:t>- содержание и техническое обслуживание</w:t>
            </w:r>
            <w:r>
              <w:rPr>
                <w:szCs w:val="28"/>
              </w:rPr>
              <w:t xml:space="preserve"> административных  </w:t>
            </w:r>
            <w:r w:rsidRPr="003B4B63">
              <w:rPr>
                <w:szCs w:val="28"/>
              </w:rPr>
              <w:t xml:space="preserve"> помещений</w:t>
            </w:r>
            <w:r>
              <w:rPr>
                <w:szCs w:val="28"/>
              </w:rPr>
              <w:t xml:space="preserve"> и </w:t>
            </w:r>
            <w:r w:rsidRPr="00770883">
              <w:rPr>
                <w:szCs w:val="28"/>
              </w:rPr>
              <w:t>инженерных коммуникаций</w:t>
            </w:r>
            <w:r>
              <w:rPr>
                <w:szCs w:val="28"/>
              </w:rPr>
              <w:t>;</w:t>
            </w:r>
          </w:p>
          <w:p w:rsidR="00BB7D66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3B4B63">
              <w:rPr>
                <w:szCs w:val="28"/>
              </w:rPr>
              <w:t>техническое обслуживание и регламент</w:t>
            </w:r>
            <w:r>
              <w:rPr>
                <w:szCs w:val="28"/>
              </w:rPr>
              <w:t>н</w:t>
            </w:r>
            <w:r w:rsidRPr="003B4B63">
              <w:rPr>
                <w:szCs w:val="28"/>
              </w:rPr>
              <w:t>о-профилактический ремонт систем кондиционирования и вентиляции</w:t>
            </w:r>
            <w:r>
              <w:rPr>
                <w:szCs w:val="28"/>
              </w:rPr>
              <w:t>;</w:t>
            </w:r>
          </w:p>
          <w:p w:rsidR="00BB7D66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11DA9">
              <w:rPr>
                <w:szCs w:val="28"/>
              </w:rPr>
              <w:t>сбор и транспортиров</w:t>
            </w:r>
            <w:r>
              <w:rPr>
                <w:szCs w:val="28"/>
              </w:rPr>
              <w:t>ка</w:t>
            </w:r>
            <w:r w:rsidRPr="00911DA9">
              <w:rPr>
                <w:szCs w:val="28"/>
              </w:rPr>
              <w:t xml:space="preserve"> твёрдых коммунальных отходов</w:t>
            </w:r>
            <w:r>
              <w:rPr>
                <w:szCs w:val="28"/>
              </w:rPr>
              <w:t>;</w:t>
            </w:r>
          </w:p>
          <w:p w:rsidR="00BB7D66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E64AB4">
              <w:rPr>
                <w:szCs w:val="28"/>
              </w:rPr>
              <w:t>ереплет книг дела</w:t>
            </w:r>
            <w:r>
              <w:rPr>
                <w:szCs w:val="28"/>
              </w:rPr>
              <w:t>;</w:t>
            </w:r>
          </w:p>
          <w:p w:rsidR="00BB7D66" w:rsidRDefault="00BB7D66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BB7D66" w:rsidRDefault="00BB7D66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B7D66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BB7D66" w:rsidRPr="000C3C23" w:rsidRDefault="00BB7D66" w:rsidP="00F9512D">
            <w:pPr>
              <w:rPr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B7D66" w:rsidRPr="00A46A72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B7D66" w:rsidRPr="00A46A72" w:rsidRDefault="00BB7D66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B7D66" w:rsidRPr="00190885" w:rsidRDefault="00BB7D6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B7D66" w:rsidRPr="00190885" w:rsidRDefault="00BB7D6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B7D66" w:rsidRPr="00190885" w:rsidRDefault="00BB7D6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B7D66" w:rsidRPr="00190885" w:rsidRDefault="00BB7D6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B7D66" w:rsidRPr="00190885" w:rsidRDefault="00BB7D6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B7D66" w:rsidRPr="00190885" w:rsidRDefault="00BB7D6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861,0</w:t>
            </w:r>
          </w:p>
        </w:tc>
        <w:tc>
          <w:tcPr>
            <w:tcW w:w="1842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861,0</w:t>
            </w:r>
          </w:p>
        </w:tc>
        <w:tc>
          <w:tcPr>
            <w:tcW w:w="201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861,0</w:t>
            </w:r>
          </w:p>
        </w:tc>
        <w:tc>
          <w:tcPr>
            <w:tcW w:w="1842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861,0</w:t>
            </w:r>
          </w:p>
        </w:tc>
        <w:tc>
          <w:tcPr>
            <w:tcW w:w="201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B7D66" w:rsidRPr="008A6FA1" w:rsidTr="00F9512D">
        <w:tc>
          <w:tcPr>
            <w:tcW w:w="14560" w:type="dxa"/>
            <w:gridSpan w:val="6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B7D66" w:rsidRPr="008A6FA1" w:rsidTr="00F9512D">
        <w:tc>
          <w:tcPr>
            <w:tcW w:w="14560" w:type="dxa"/>
            <w:gridSpan w:val="6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</w:p>
        </w:tc>
      </w:tr>
      <w:tr w:rsidR="00BB7D66" w:rsidRPr="008A6FA1" w:rsidTr="00F9512D">
        <w:tc>
          <w:tcPr>
            <w:tcW w:w="6374" w:type="dxa"/>
          </w:tcPr>
          <w:p w:rsidR="00BB7D66" w:rsidRPr="00190885" w:rsidRDefault="00BB7D6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B7D66" w:rsidRPr="00190885" w:rsidRDefault="00BB7D6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B7D66" w:rsidRDefault="00BB7D66" w:rsidP="00EF6F81">
      <w:pPr>
        <w:jc w:val="center"/>
        <w:rPr>
          <w:szCs w:val="28"/>
        </w:rPr>
        <w:sectPr w:rsidR="00BB7D6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B7D66" w:rsidRDefault="00BB7D66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BB7D66" w:rsidRPr="004408E3" w:rsidRDefault="00BB7D66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B7D66" w:rsidRDefault="00BB7D66" w:rsidP="00225687">
      <w:pPr>
        <w:ind w:firstLine="709"/>
        <w:jc w:val="both"/>
      </w:pPr>
    </w:p>
    <w:p w:rsidR="00BB7D66" w:rsidRDefault="00BB7D6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BB7D66" w:rsidRDefault="00BB7D66" w:rsidP="00EF6F81">
      <w:pPr>
        <w:jc w:val="center"/>
        <w:rPr>
          <w:szCs w:val="28"/>
        </w:rPr>
      </w:pPr>
    </w:p>
    <w:p w:rsidR="00BB7D66" w:rsidRPr="004408E3" w:rsidRDefault="00BB7D66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B7D66" w:rsidRDefault="00BB7D6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BB7D66" w:rsidTr="00F9512D">
        <w:tc>
          <w:tcPr>
            <w:tcW w:w="648" w:type="dxa"/>
            <w:vMerge w:val="restart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BB7D66" w:rsidRPr="00AC26F6" w:rsidRDefault="00BB7D6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BB7D66" w:rsidRPr="00AC26F6" w:rsidRDefault="00BB7D6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BB7D66" w:rsidTr="00F9512D">
        <w:tc>
          <w:tcPr>
            <w:tcW w:w="648" w:type="dxa"/>
            <w:vMerge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BB7D66" w:rsidRPr="00AC26F6" w:rsidRDefault="00BB7D6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BB7D66" w:rsidRPr="00AC26F6" w:rsidRDefault="00BB7D6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BB7D66" w:rsidTr="00F9512D">
        <w:tc>
          <w:tcPr>
            <w:tcW w:w="648" w:type="dxa"/>
          </w:tcPr>
          <w:p w:rsidR="00BB7D66" w:rsidRPr="00AC26F6" w:rsidRDefault="00BB7D6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BB7D66" w:rsidRPr="00AC26F6" w:rsidRDefault="00BB7D6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BB7D66" w:rsidRPr="00AC26F6" w:rsidRDefault="00BB7D6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BB7D66" w:rsidRPr="00AC26F6" w:rsidRDefault="00BB7D6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BB7D66" w:rsidRPr="00AC26F6" w:rsidRDefault="00BB7D6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BB7D66" w:rsidRPr="00AC26F6" w:rsidRDefault="00BB7D6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BB7D66" w:rsidTr="00F9512D">
        <w:tc>
          <w:tcPr>
            <w:tcW w:w="648" w:type="dxa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BB7D66" w:rsidRDefault="00BB7D6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B169D6">
              <w:rPr>
                <w:szCs w:val="28"/>
              </w:rPr>
              <w:t>«Материально-техническое обеспечение и содержание администрации Старотитаровского сельского поселения Темрюкского района»</w:t>
            </w:r>
          </w:p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BB7D66" w:rsidRPr="00C25175" w:rsidRDefault="00BB7D66" w:rsidP="00F9512D">
            <w:pPr>
              <w:rPr>
                <w:b/>
                <w:szCs w:val="28"/>
              </w:rPr>
            </w:pPr>
            <w:r w:rsidRPr="003B4B63">
              <w:rPr>
                <w:szCs w:val="28"/>
              </w:rPr>
              <w:t>содержание и техническое обслуживание</w:t>
            </w:r>
            <w:r>
              <w:rPr>
                <w:szCs w:val="28"/>
              </w:rPr>
              <w:t xml:space="preserve"> административных  </w:t>
            </w:r>
            <w:r w:rsidRPr="003B4B63">
              <w:rPr>
                <w:szCs w:val="28"/>
              </w:rPr>
              <w:t xml:space="preserve"> помещений</w:t>
            </w:r>
            <w:r>
              <w:rPr>
                <w:szCs w:val="28"/>
              </w:rPr>
              <w:t xml:space="preserve"> и </w:t>
            </w:r>
            <w:r w:rsidRPr="00770883">
              <w:rPr>
                <w:szCs w:val="28"/>
              </w:rPr>
              <w:t>инженерных коммуникаций</w:t>
            </w:r>
          </w:p>
        </w:tc>
        <w:tc>
          <w:tcPr>
            <w:tcW w:w="162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B7D66" w:rsidRDefault="00BB7D66" w:rsidP="00F9512D">
            <w:pPr>
              <w:jc w:val="center"/>
              <w:rPr>
                <w:szCs w:val="28"/>
              </w:rPr>
            </w:pPr>
          </w:p>
          <w:p w:rsidR="00BB7D66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BB7D66" w:rsidRPr="00C25175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B7D66" w:rsidRPr="00877383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BB7D66" w:rsidRPr="00C25175" w:rsidRDefault="00BB7D66" w:rsidP="00F9512D">
            <w:pPr>
              <w:rPr>
                <w:b/>
                <w:szCs w:val="28"/>
              </w:rPr>
            </w:pPr>
            <w:r w:rsidRPr="003B4B63">
              <w:rPr>
                <w:szCs w:val="28"/>
              </w:rPr>
              <w:t>техническое обслуживание и регламент</w:t>
            </w:r>
            <w:r>
              <w:rPr>
                <w:szCs w:val="28"/>
              </w:rPr>
              <w:t>н</w:t>
            </w:r>
            <w:r w:rsidRPr="003B4B63">
              <w:rPr>
                <w:szCs w:val="28"/>
              </w:rPr>
              <w:t>о-профилактический ремонт систем кондиционирования и вентиляции</w:t>
            </w:r>
          </w:p>
        </w:tc>
        <w:tc>
          <w:tcPr>
            <w:tcW w:w="162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B7D66" w:rsidRPr="00877383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BB7D66" w:rsidRPr="00C25175" w:rsidRDefault="00BB7D66" w:rsidP="00F9512D">
            <w:pPr>
              <w:rPr>
                <w:b/>
                <w:szCs w:val="28"/>
              </w:rPr>
            </w:pPr>
            <w:r w:rsidRPr="00911DA9">
              <w:rPr>
                <w:szCs w:val="28"/>
              </w:rPr>
              <w:t>сбор и транспортиров</w:t>
            </w:r>
            <w:r>
              <w:rPr>
                <w:szCs w:val="28"/>
              </w:rPr>
              <w:t>ка</w:t>
            </w:r>
            <w:r w:rsidRPr="00911DA9">
              <w:rPr>
                <w:szCs w:val="28"/>
              </w:rPr>
              <w:t xml:space="preserve"> твёрдых коммунальных отходов</w:t>
            </w:r>
          </w:p>
        </w:tc>
        <w:tc>
          <w:tcPr>
            <w:tcW w:w="162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B7D66" w:rsidRPr="00877383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20,3</w:t>
            </w: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BB7D66" w:rsidRPr="00C25175" w:rsidRDefault="00BB7D6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E64AB4">
              <w:rPr>
                <w:szCs w:val="28"/>
              </w:rPr>
              <w:t>ереплет книг дела</w:t>
            </w:r>
          </w:p>
        </w:tc>
        <w:tc>
          <w:tcPr>
            <w:tcW w:w="162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B7D66" w:rsidRPr="00AC26F6" w:rsidRDefault="00BB7D6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BB7D66" w:rsidRDefault="00BB7D66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BB7D66" w:rsidRPr="00C25175" w:rsidRDefault="00BB7D66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BB7D66" w:rsidRPr="00877383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B7D66" w:rsidRPr="00AC26F6" w:rsidRDefault="00BB7D6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B7D66" w:rsidRDefault="00BB7D66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BB7D66" w:rsidRPr="00AC26F6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B7D66" w:rsidRPr="00C25175" w:rsidRDefault="00BB7D66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BB7D66" w:rsidRPr="00877383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B7D66" w:rsidRPr="00C25175" w:rsidRDefault="00BB7D6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3860" w:type="dxa"/>
            <w:gridSpan w:val="5"/>
          </w:tcPr>
          <w:p w:rsidR="00BB7D66" w:rsidRDefault="00BB7D66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4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BB7D66" w:rsidRPr="00C25175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Tr="00F9512D">
        <w:tc>
          <w:tcPr>
            <w:tcW w:w="648" w:type="dxa"/>
            <w:vAlign w:val="center"/>
          </w:tcPr>
          <w:p w:rsidR="00BB7D66" w:rsidRPr="00AC26F6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4.1</w:t>
            </w:r>
          </w:p>
        </w:tc>
        <w:tc>
          <w:tcPr>
            <w:tcW w:w="7380" w:type="dxa"/>
          </w:tcPr>
          <w:p w:rsidR="00BB7D66" w:rsidRPr="00C25175" w:rsidRDefault="00BB7D66" w:rsidP="00F9512D">
            <w:pPr>
              <w:contextualSpacing/>
              <w:rPr>
                <w:b/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62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B7D66" w:rsidRPr="00C25175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BB7D66" w:rsidRPr="00877383" w:rsidRDefault="00BB7D6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</w:tbl>
    <w:p w:rsidR="00BB7D66" w:rsidRPr="00A74297" w:rsidRDefault="00BB7D66" w:rsidP="00225687">
      <w:pPr>
        <w:jc w:val="center"/>
        <w:rPr>
          <w:b/>
          <w:szCs w:val="28"/>
        </w:rPr>
      </w:pPr>
    </w:p>
    <w:p w:rsidR="00BB7D66" w:rsidRPr="00225687" w:rsidRDefault="00BB7D66">
      <w:pPr>
        <w:rPr>
          <w:sz w:val="6"/>
          <w:szCs w:val="6"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Default="00BB7D66" w:rsidP="0054045D">
      <w:pPr>
        <w:pStyle w:val="ConsPlusNormal0"/>
        <w:jc w:val="center"/>
        <w:rPr>
          <w:b/>
        </w:rPr>
      </w:pPr>
    </w:p>
    <w:p w:rsidR="00BB7D66" w:rsidRPr="003C75F8" w:rsidRDefault="00BB7D6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BB7D66" w:rsidRPr="003C75F8" w:rsidRDefault="00BB7D6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BB7D66" w:rsidRPr="004408E3" w:rsidRDefault="00BB7D66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B7D66" w:rsidRPr="003C75F8" w:rsidRDefault="00BB7D66" w:rsidP="0054045D">
      <w:pPr>
        <w:pStyle w:val="ConsPlusNormal0"/>
        <w:jc w:val="center"/>
        <w:rPr>
          <w:b/>
        </w:rPr>
      </w:pPr>
    </w:p>
    <w:p w:rsidR="00BB7D66" w:rsidRPr="003C75F8" w:rsidRDefault="00BB7D6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BB7D66" w:rsidRPr="00C404E0" w:rsidTr="00C404E0">
        <w:tc>
          <w:tcPr>
            <w:tcW w:w="730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BB7D66" w:rsidRPr="0054045D" w:rsidRDefault="00BB7D6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BB7D66" w:rsidRPr="000B0521" w:rsidTr="00C404E0">
        <w:tc>
          <w:tcPr>
            <w:tcW w:w="726" w:type="dxa"/>
          </w:tcPr>
          <w:p w:rsidR="00BB7D66" w:rsidRPr="000B0521" w:rsidRDefault="00BB7D6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BB7D66" w:rsidRPr="000B0521" w:rsidRDefault="00BB7D6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B7D66" w:rsidRPr="000B0521" w:rsidRDefault="00BB7D6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BB7D66" w:rsidRPr="000B0521" w:rsidRDefault="00BB7D6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BB7D66" w:rsidRPr="000B0521" w:rsidRDefault="00BB7D6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BB7D66" w:rsidRPr="000B0521" w:rsidRDefault="00BB7D6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BB7D66" w:rsidRPr="000B0521" w:rsidRDefault="00BB7D6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BB7D66" w:rsidRPr="000B0521" w:rsidRDefault="00BB7D6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BB7D66" w:rsidRPr="00F945BC" w:rsidTr="00C404E0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BB7D66" w:rsidRPr="00C404E0" w:rsidRDefault="00BB7D6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Подпрограммы «Материально-техническое обеспечение и содержание администрации Старотитаровского сельского поселения Темрюкского района»</w:t>
            </w:r>
          </w:p>
        </w:tc>
      </w:tr>
      <w:tr w:rsidR="00BB7D66" w:rsidRPr="00F945BC" w:rsidTr="00C404E0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BB7D66" w:rsidRPr="00C404E0" w:rsidRDefault="00BB7D66" w:rsidP="00F9512D">
            <w:pPr>
              <w:rPr>
                <w:b/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содержание и техническое обслуживание административных   помещений и инженерных коммуникаций</w:t>
            </w:r>
          </w:p>
        </w:tc>
        <w:tc>
          <w:tcPr>
            <w:tcW w:w="1519" w:type="dxa"/>
            <w:vAlign w:val="center"/>
          </w:tcPr>
          <w:p w:rsidR="00BB7D66" w:rsidRPr="00C404E0" w:rsidRDefault="00BB7D6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B7D66" w:rsidRPr="00B51199" w:rsidRDefault="00BB7D6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B7D66" w:rsidRPr="00F57EFB" w:rsidRDefault="00BB7D6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BB7D66" w:rsidRPr="00F57EFB" w:rsidRDefault="00BB7D6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BB7D66" w:rsidRPr="00F57EFB" w:rsidRDefault="00BB7D6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B7D66" w:rsidRPr="00F945BC" w:rsidTr="00C404E0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BB7D66" w:rsidRPr="00C404E0" w:rsidRDefault="00BB7D66" w:rsidP="00F9512D">
            <w:pPr>
              <w:rPr>
                <w:b/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техническое обслуживание и регламентно-профилактический ремонт систем кондиционирования и вентиляции</w:t>
            </w:r>
          </w:p>
        </w:tc>
        <w:tc>
          <w:tcPr>
            <w:tcW w:w="1519" w:type="dxa"/>
            <w:vAlign w:val="center"/>
          </w:tcPr>
          <w:p w:rsidR="00BB7D66" w:rsidRPr="00C404E0" w:rsidRDefault="00BB7D6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B7D66" w:rsidRPr="00F945BC" w:rsidRDefault="00BB7D6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</w:tr>
      <w:tr w:rsidR="00BB7D66" w:rsidRPr="00F945BC" w:rsidTr="00C404E0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BB7D66" w:rsidRPr="00C404E0" w:rsidRDefault="00BB7D66" w:rsidP="00F9512D">
            <w:pPr>
              <w:rPr>
                <w:b/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сбор и транспортиров</w:t>
            </w:r>
            <w:r>
              <w:rPr>
                <w:sz w:val="24"/>
                <w:szCs w:val="24"/>
              </w:rPr>
              <w:t>ка</w:t>
            </w:r>
            <w:r w:rsidRPr="00C404E0">
              <w:rPr>
                <w:sz w:val="24"/>
                <w:szCs w:val="24"/>
              </w:rPr>
              <w:t xml:space="preserve"> твёрдых коммунальных отходов</w:t>
            </w:r>
          </w:p>
        </w:tc>
        <w:tc>
          <w:tcPr>
            <w:tcW w:w="1519" w:type="dxa"/>
            <w:vAlign w:val="center"/>
          </w:tcPr>
          <w:p w:rsidR="00BB7D66" w:rsidRPr="00C404E0" w:rsidRDefault="00BB7D6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BB7D66" w:rsidRPr="00F945BC" w:rsidRDefault="00BB7D6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</w:tr>
      <w:tr w:rsidR="00BB7D66" w:rsidRPr="00F945BC" w:rsidTr="00C404E0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BB7D66" w:rsidRPr="00C404E0" w:rsidRDefault="00BB7D66" w:rsidP="00F9512D">
            <w:pPr>
              <w:rPr>
                <w:b/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переплет книг дела</w:t>
            </w:r>
          </w:p>
        </w:tc>
        <w:tc>
          <w:tcPr>
            <w:tcW w:w="1519" w:type="dxa"/>
            <w:vAlign w:val="center"/>
          </w:tcPr>
          <w:p w:rsidR="00BB7D66" w:rsidRPr="00C404E0" w:rsidRDefault="00BB7D6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B7D66" w:rsidRPr="00F945BC" w:rsidRDefault="00BB7D6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</w:tr>
      <w:tr w:rsidR="00BB7D66" w:rsidRPr="00F945BC" w:rsidTr="00C667BF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BB7D66" w:rsidRPr="00215EF9" w:rsidRDefault="00BB7D66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BB7D66" w:rsidRPr="00F945BC" w:rsidRDefault="00BB7D66" w:rsidP="00F945BC">
            <w:pPr>
              <w:jc w:val="center"/>
              <w:rPr>
                <w:szCs w:val="28"/>
              </w:rPr>
            </w:pPr>
          </w:p>
        </w:tc>
      </w:tr>
      <w:tr w:rsidR="00BB7D66" w:rsidRPr="00F945BC" w:rsidTr="00215EF9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BB7D66" w:rsidRPr="00215EF9" w:rsidRDefault="00BB7D66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BB7D66" w:rsidRPr="00C404E0" w:rsidRDefault="00BB7D66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BB7D66" w:rsidRPr="00F945BC" w:rsidRDefault="00BB7D6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B7D66" w:rsidRPr="00F945BC" w:rsidRDefault="00BB7D66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B7D66" w:rsidRPr="00F57EFB" w:rsidRDefault="00BB7D6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B7D66" w:rsidRPr="00F57EFB" w:rsidRDefault="00BB7D6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B7D66" w:rsidRPr="00F945BC" w:rsidRDefault="00BB7D66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B7D66" w:rsidRPr="00F945BC" w:rsidTr="0070794F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BB7D66" w:rsidRPr="00215EF9" w:rsidRDefault="00BB7D66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Старотитаровского сельского поселения Темрюкского района» </w:t>
            </w:r>
          </w:p>
          <w:p w:rsidR="00BB7D66" w:rsidRPr="00F945BC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RPr="00F945BC" w:rsidTr="00215EF9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BB7D66" w:rsidRPr="00215EF9" w:rsidRDefault="00BB7D66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BB7D66" w:rsidRPr="00C404E0" w:rsidRDefault="00BB7D66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B7D66" w:rsidRPr="00F945BC" w:rsidRDefault="00BB7D66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B7D66" w:rsidRPr="00F945BC" w:rsidRDefault="00BB7D66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B7D66" w:rsidRPr="00F57EFB" w:rsidRDefault="00BB7D6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B7D66" w:rsidRPr="00F57EFB" w:rsidRDefault="00BB7D6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B7D66" w:rsidRPr="00F945BC" w:rsidRDefault="00BB7D66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B7D66" w:rsidRPr="00F945BC" w:rsidTr="00487F47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34" w:type="dxa"/>
            <w:gridSpan w:val="7"/>
          </w:tcPr>
          <w:p w:rsidR="00BB7D66" w:rsidRPr="00215EF9" w:rsidRDefault="00BB7D66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4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BB7D66" w:rsidRPr="00F945BC" w:rsidRDefault="00BB7D66" w:rsidP="00F9512D">
            <w:pPr>
              <w:jc w:val="center"/>
              <w:rPr>
                <w:szCs w:val="28"/>
              </w:rPr>
            </w:pPr>
          </w:p>
        </w:tc>
      </w:tr>
      <w:tr w:rsidR="00BB7D66" w:rsidRPr="00F945BC" w:rsidTr="00215EF9">
        <w:tc>
          <w:tcPr>
            <w:tcW w:w="726" w:type="dxa"/>
          </w:tcPr>
          <w:p w:rsidR="00BB7D66" w:rsidRPr="00C404E0" w:rsidRDefault="00BB7D6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2293" w:type="dxa"/>
          </w:tcPr>
          <w:p w:rsidR="00BB7D66" w:rsidRPr="00215EF9" w:rsidRDefault="00BB7D66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BB7D66" w:rsidRPr="00C404E0" w:rsidRDefault="00BB7D66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B7D66" w:rsidRPr="00F945BC" w:rsidRDefault="00BB7D66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B7D66" w:rsidRPr="00F945BC" w:rsidRDefault="00BB7D66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B7D66" w:rsidRPr="00F57EFB" w:rsidRDefault="00BB7D6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B7D66" w:rsidRPr="00F57EFB" w:rsidRDefault="00BB7D6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B7D66" w:rsidRPr="00F945BC" w:rsidRDefault="00BB7D66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Default="00BB7D66" w:rsidP="00FA1A72">
      <w:pPr>
        <w:jc w:val="both"/>
        <w:rPr>
          <w:szCs w:val="28"/>
        </w:rPr>
      </w:pPr>
    </w:p>
    <w:p w:rsidR="00BB7D66" w:rsidRPr="00FD34F6" w:rsidRDefault="00BB7D66">
      <w:pPr>
        <w:rPr>
          <w:sz w:val="6"/>
          <w:szCs w:val="6"/>
        </w:rPr>
      </w:pPr>
    </w:p>
    <w:p w:rsidR="00BB7D66" w:rsidRDefault="00BB7D66" w:rsidP="00EF6F81">
      <w:pPr>
        <w:jc w:val="center"/>
        <w:rPr>
          <w:szCs w:val="28"/>
        </w:rPr>
        <w:sectPr w:rsidR="00BB7D6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B7D66" w:rsidRDefault="00BB7D6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7D66" w:rsidRPr="00484E94" w:rsidRDefault="00BB7D6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B7D66" w:rsidRPr="00484E94" w:rsidRDefault="00BB7D6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BB7D66" w:rsidRPr="00484E94" w:rsidRDefault="00BB7D66" w:rsidP="00484E94">
      <w:pPr>
        <w:pStyle w:val="ConsPlusNormal0"/>
        <w:jc w:val="center"/>
        <w:rPr>
          <w:szCs w:val="28"/>
        </w:rPr>
      </w:pPr>
    </w:p>
    <w:p w:rsidR="00BB7D66" w:rsidRPr="0016103B" w:rsidRDefault="00BB7D6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BB7D66" w:rsidRPr="00484E94" w:rsidRDefault="00BB7D6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BB7D66" w:rsidRDefault="00BB7D66" w:rsidP="00484E94">
      <w:pPr>
        <w:jc w:val="both"/>
      </w:pPr>
    </w:p>
    <w:p w:rsidR="00BB7D66" w:rsidRPr="00484E94" w:rsidRDefault="00BB7D6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BB7D66" w:rsidRPr="00484E94" w:rsidRDefault="00BB7D6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BB7D66" w:rsidRPr="00484E94" w:rsidRDefault="00BB7D66" w:rsidP="00484E94">
      <w:pPr>
        <w:pStyle w:val="ConsPlusNormal0"/>
        <w:jc w:val="both"/>
        <w:rPr>
          <w:szCs w:val="28"/>
        </w:rPr>
      </w:pP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BB7D66" w:rsidRDefault="00BB7D66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BB7D66" w:rsidRPr="007F34E4" w:rsidRDefault="00BB7D66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BB7D66" w:rsidRPr="007F34E4" w:rsidRDefault="00BB7D66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BB7D66" w:rsidRPr="007F34E4" w:rsidRDefault="00BB7D66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BB7D66" w:rsidRPr="007F34E4" w:rsidRDefault="00BB7D66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BB7D66" w:rsidRPr="007F34E4" w:rsidRDefault="00BB7D66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BB7D66" w:rsidRDefault="00BB7D66" w:rsidP="00484E94">
      <w:pPr>
        <w:ind w:firstLine="709"/>
        <w:jc w:val="both"/>
        <w:rPr>
          <w:szCs w:val="28"/>
        </w:rPr>
      </w:pPr>
    </w:p>
    <w:p w:rsidR="00BB7D66" w:rsidRDefault="00BB7D66" w:rsidP="00484E94">
      <w:pPr>
        <w:ind w:firstLine="709"/>
        <w:jc w:val="both"/>
        <w:rPr>
          <w:szCs w:val="28"/>
        </w:rPr>
      </w:pPr>
    </w:p>
    <w:p w:rsidR="00BB7D66" w:rsidRDefault="00BB7D6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B7D66" w:rsidRDefault="00BB7D6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B7D66" w:rsidRDefault="00BB7D66" w:rsidP="00B47CC7">
      <w:pPr>
        <w:rPr>
          <w:szCs w:val="28"/>
        </w:rPr>
        <w:sectPr w:rsidR="00BB7D6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BB7D66" w:rsidRDefault="00BB7D66" w:rsidP="001F5CA2">
      <w:pPr>
        <w:jc w:val="center"/>
        <w:rPr>
          <w:b/>
        </w:rPr>
      </w:pPr>
    </w:p>
    <w:sectPr w:rsidR="00BB7D6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D66" w:rsidRDefault="00BB7D66" w:rsidP="00EF6F81">
      <w:r>
        <w:separator/>
      </w:r>
    </w:p>
  </w:endnote>
  <w:endnote w:type="continuationSeparator" w:id="0">
    <w:p w:rsidR="00BB7D66" w:rsidRDefault="00BB7D6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D66" w:rsidRDefault="00BB7D66" w:rsidP="00EF6F81">
      <w:r>
        <w:separator/>
      </w:r>
    </w:p>
  </w:footnote>
  <w:footnote w:type="continuationSeparator" w:id="0">
    <w:p w:rsidR="00BB7D66" w:rsidRDefault="00BB7D6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66" w:rsidRDefault="00BB7D6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D66" w:rsidRDefault="00BB7D66">
    <w:pPr>
      <w:pStyle w:val="Header"/>
      <w:jc w:val="center"/>
    </w:pPr>
  </w:p>
  <w:p w:rsidR="00BB7D66" w:rsidRDefault="00BB7D6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B7D66" w:rsidRPr="00F945BC" w:rsidRDefault="00BB7D6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C47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8D4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0621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36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2321</TotalTime>
  <Pages>13</Pages>
  <Words>2148</Words>
  <Characters>12245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197</cp:revision>
  <cp:lastPrinted>2021-06-11T06:36:00Z</cp:lastPrinted>
  <dcterms:created xsi:type="dcterms:W3CDTF">2018-08-07T11:48:00Z</dcterms:created>
  <dcterms:modified xsi:type="dcterms:W3CDTF">2021-10-29T07:21:00Z</dcterms:modified>
</cp:coreProperties>
</file>