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93" w:rsidRPr="00C90E8A" w:rsidRDefault="00A52593" w:rsidP="00C90E8A">
      <w:pPr>
        <w:pStyle w:val="Heading1"/>
        <w:shd w:val="clear" w:color="auto" w:fill="FFFFFF"/>
        <w:spacing w:before="0" w:after="0"/>
        <w:jc w:val="center"/>
        <w:textAlignment w:val="baseline"/>
        <w:rPr>
          <w:rFonts w:ascii="Times New Roman" w:hAnsi="Times New Roman" w:cs="Times New Roman"/>
          <w:color w:val="000000"/>
          <w:sz w:val="36"/>
          <w:szCs w:val="36"/>
        </w:rPr>
      </w:pPr>
      <w:r w:rsidRPr="00C90E8A">
        <w:rPr>
          <w:rFonts w:ascii="Times New Roman" w:hAnsi="Times New Roman" w:cs="Times New Roman"/>
          <w:color w:val="000000"/>
          <w:sz w:val="36"/>
          <w:szCs w:val="36"/>
        </w:rPr>
        <w:t>ФНС: в платежке на перечисление страховых взносов нужно указывать статус плательщика "01", а не "14".</w:t>
      </w:r>
    </w:p>
    <w:p w:rsidR="00A52593" w:rsidRPr="00C90E8A" w:rsidRDefault="00A52593" w:rsidP="00C90E8A">
      <w:pPr>
        <w:shd w:val="clear" w:color="auto" w:fill="FFFFFF"/>
        <w:jc w:val="both"/>
        <w:textAlignment w:val="top"/>
        <w:rPr>
          <w:color w:val="000000"/>
        </w:rPr>
      </w:pPr>
    </w:p>
    <w:p w:rsidR="00A52593" w:rsidRPr="00C90E8A" w:rsidRDefault="00A52593" w:rsidP="00C90E8A">
      <w:pPr>
        <w:ind w:firstLine="709"/>
        <w:jc w:val="both"/>
      </w:pPr>
      <w:r w:rsidRPr="00C90E8A">
        <w:t>В связи с большими сроками (более полугода) доработки Банком России программного обеспечения, позволяющего принимать платежные поручения со статусом «14», налоговая служба приняла решение о необходимости указания плательщиками страховых взносов следующих статусов:</w:t>
      </w:r>
    </w:p>
    <w:p w:rsidR="00A52593" w:rsidRPr="00C90E8A" w:rsidRDefault="00A52593" w:rsidP="00C90E8A">
      <w:pPr>
        <w:numPr>
          <w:ilvl w:val="0"/>
          <w:numId w:val="4"/>
        </w:numPr>
        <w:ind w:left="0" w:firstLine="560"/>
        <w:jc w:val="both"/>
      </w:pPr>
      <w:r w:rsidRPr="00C90E8A">
        <w:t xml:space="preserve"> по юридическим лицам, производящим выплаты физическим лицам, - «01»; </w:t>
      </w:r>
    </w:p>
    <w:p w:rsidR="00A52593" w:rsidRPr="00C90E8A" w:rsidRDefault="00A52593" w:rsidP="00C90E8A">
      <w:pPr>
        <w:numPr>
          <w:ilvl w:val="0"/>
          <w:numId w:val="4"/>
        </w:numPr>
        <w:ind w:left="0" w:firstLine="567"/>
        <w:jc w:val="both"/>
      </w:pPr>
      <w:r w:rsidRPr="00C90E8A">
        <w:t xml:space="preserve"> по индивидуальным предпринимателям - «09», «10», «11» и «12»; </w:t>
      </w:r>
    </w:p>
    <w:p w:rsidR="00A52593" w:rsidRPr="00C90E8A" w:rsidRDefault="00A52593" w:rsidP="00C90E8A">
      <w:pPr>
        <w:numPr>
          <w:ilvl w:val="0"/>
          <w:numId w:val="4"/>
        </w:numPr>
        <w:ind w:left="0" w:firstLine="567"/>
        <w:jc w:val="both"/>
      </w:pPr>
      <w:r w:rsidRPr="00C90E8A">
        <w:t xml:space="preserve"> по физическим лицам – «13». </w:t>
      </w:r>
    </w:p>
    <w:p w:rsidR="00A52593" w:rsidRPr="00C90E8A" w:rsidRDefault="00A52593" w:rsidP="00C90E8A">
      <w:pPr>
        <w:jc w:val="center"/>
        <w:rPr>
          <w:b/>
          <w:bCs/>
          <w:color w:val="000000"/>
          <w:kern w:val="36"/>
        </w:rPr>
      </w:pPr>
    </w:p>
    <w:p w:rsidR="00A52593" w:rsidRPr="00C90E8A" w:rsidRDefault="00A52593" w:rsidP="00C90E8A">
      <w:pPr>
        <w:jc w:val="center"/>
        <w:rPr>
          <w:b/>
          <w:bCs/>
          <w:color w:val="000000"/>
          <w:kern w:val="36"/>
          <w:sz w:val="36"/>
          <w:szCs w:val="36"/>
        </w:rPr>
      </w:pPr>
      <w:r w:rsidRPr="00C90E8A">
        <w:rPr>
          <w:b/>
          <w:bCs/>
          <w:color w:val="000000"/>
          <w:kern w:val="36"/>
          <w:sz w:val="36"/>
          <w:szCs w:val="36"/>
        </w:rPr>
        <w:t>До 2 мая необходимо отчитаться о доходах, полученных за 2016 год.</w:t>
      </w:r>
    </w:p>
    <w:p w:rsidR="00A52593" w:rsidRPr="00C90E8A" w:rsidRDefault="00A52593" w:rsidP="00C90E8A">
      <w:pPr>
        <w:jc w:val="center"/>
        <w:rPr>
          <w:b/>
          <w:bCs/>
          <w:color w:val="000000"/>
          <w:kern w:val="36"/>
        </w:rPr>
      </w:pPr>
    </w:p>
    <w:p w:rsidR="00A52593" w:rsidRPr="00C90E8A" w:rsidRDefault="00A52593" w:rsidP="00C90E8A">
      <w:pPr>
        <w:shd w:val="clear" w:color="auto" w:fill="FFFFFF"/>
        <w:ind w:firstLine="700"/>
        <w:jc w:val="both"/>
      </w:pPr>
      <w:r w:rsidRPr="00C90E8A">
        <w:t>Налогоплательщикам, получившим доходы от продажи недвижимости, транспорта, ценных бумаг, выигрыша, сдачи в аренду имущества необходимо не позднее 2 мая подать декларацию о доходах 3-НДФЛ в налоговый орган по месту жительства.</w:t>
      </w:r>
    </w:p>
    <w:p w:rsidR="00A52593" w:rsidRPr="00C90E8A" w:rsidRDefault="00A52593" w:rsidP="00C90E8A">
      <w:pPr>
        <w:jc w:val="both"/>
      </w:pPr>
    </w:p>
    <w:p w:rsidR="00A52593" w:rsidRPr="00C90E8A" w:rsidRDefault="00A52593" w:rsidP="00C90E8A">
      <w:pPr>
        <w:pStyle w:val="Heading1"/>
        <w:shd w:val="clear" w:color="auto" w:fill="FFFFFF"/>
        <w:spacing w:before="0" w:after="0"/>
        <w:jc w:val="center"/>
        <w:textAlignment w:val="baseline"/>
        <w:rPr>
          <w:rFonts w:ascii="Times New Roman" w:hAnsi="Times New Roman" w:cs="Times New Roman"/>
          <w:color w:val="000000"/>
          <w:sz w:val="36"/>
          <w:szCs w:val="36"/>
        </w:rPr>
      </w:pPr>
      <w:bookmarkStart w:id="0" w:name="_GoBack"/>
      <w:bookmarkEnd w:id="0"/>
      <w:r w:rsidRPr="00C90E8A">
        <w:rPr>
          <w:rFonts w:ascii="Times New Roman" w:hAnsi="Times New Roman" w:cs="Times New Roman"/>
          <w:color w:val="000000"/>
          <w:sz w:val="36"/>
          <w:szCs w:val="36"/>
        </w:rPr>
        <w:t>Если вычет на жилье заявлен не в январе, юрлицо возвращает работнику удержанный НДФЛ с начала года.</w:t>
      </w:r>
    </w:p>
    <w:p w:rsidR="00A52593" w:rsidRPr="00C90E8A" w:rsidRDefault="00A52593" w:rsidP="00C90E8A"/>
    <w:p w:rsidR="00A52593" w:rsidRPr="00C90E8A" w:rsidRDefault="00A52593" w:rsidP="00C90E8A">
      <w:pPr>
        <w:shd w:val="clear" w:color="auto" w:fill="FFFFFF"/>
        <w:ind w:firstLine="700"/>
        <w:jc w:val="both"/>
        <w:textAlignment w:val="top"/>
      </w:pPr>
      <w:r w:rsidRPr="00C90E8A">
        <w:t>В соответствии с письмом Минфина России от 20.01.2017г. № 03-04-06/2416, если сотрудник подал уведомление из налогового органа и заявление о предоставлении имущественного вычета не в январе, работодатель возвращает переплату по НДФЛ за весь период с начала года.</w:t>
      </w:r>
    </w:p>
    <w:p w:rsidR="00A52593" w:rsidRPr="00C90E8A" w:rsidRDefault="00A52593" w:rsidP="00C90E8A">
      <w:pPr>
        <w:ind w:firstLine="700"/>
        <w:jc w:val="both"/>
      </w:pPr>
      <w:hyperlink r:id="rId7" w:history="1">
        <w:r w:rsidRPr="00C90E8A">
          <w:rPr>
            <w:rStyle w:val="Hyperlink"/>
            <w:bdr w:val="none" w:sz="0" w:space="0" w:color="auto" w:frame="1"/>
          </w:rPr>
          <w:t>Разъяснение министерства</w:t>
        </w:r>
      </w:hyperlink>
      <w:r w:rsidRPr="00C90E8A">
        <w:rPr>
          <w:rStyle w:val="apple-converted-space"/>
        </w:rPr>
        <w:t> </w:t>
      </w:r>
      <w:r w:rsidRPr="00C90E8A">
        <w:t xml:space="preserve">актуально для следующей ситуации. Работник купил жилье, и у него появилось право на имущественный вычет. За ним сотрудник обратился к работодателю не в начале года, в связи с чем с января возникла переплата по НДФЛ. Вернуть сотруднику переплату НДФЛ должен налоговый агент. </w:t>
      </w:r>
    </w:p>
    <w:p w:rsidR="00A52593" w:rsidRPr="00C90E8A" w:rsidRDefault="00A52593" w:rsidP="00C90E8A">
      <w:pPr>
        <w:ind w:firstLine="700"/>
        <w:jc w:val="both"/>
      </w:pPr>
    </w:p>
    <w:p w:rsidR="00A52593" w:rsidRPr="00C90E8A" w:rsidRDefault="00A52593" w:rsidP="00C90E8A">
      <w:pPr>
        <w:shd w:val="clear" w:color="auto" w:fill="FFFFFF"/>
        <w:spacing w:line="300" w:lineRule="atLeast"/>
        <w:ind w:left="-60"/>
        <w:jc w:val="center"/>
        <w:textAlignment w:val="baseline"/>
        <w:rPr>
          <w:b/>
          <w:color w:val="000000"/>
          <w:sz w:val="36"/>
          <w:szCs w:val="36"/>
        </w:rPr>
      </w:pPr>
      <w:r w:rsidRPr="00C90E8A">
        <w:rPr>
          <w:b/>
          <w:color w:val="000000"/>
          <w:sz w:val="36"/>
          <w:szCs w:val="36"/>
        </w:rPr>
        <w:t>Изменения НК РФ для юрлиц с 2017 года.</w:t>
      </w:r>
    </w:p>
    <w:p w:rsidR="00A52593" w:rsidRPr="00C90E8A" w:rsidRDefault="00A52593" w:rsidP="00C90E8A">
      <w:pPr>
        <w:shd w:val="clear" w:color="auto" w:fill="FFFFFF"/>
        <w:spacing w:line="300" w:lineRule="atLeast"/>
        <w:ind w:left="-60" w:firstLine="760"/>
        <w:jc w:val="both"/>
        <w:textAlignment w:val="baseline"/>
        <w:rPr>
          <w:color w:val="000000"/>
        </w:rPr>
      </w:pPr>
    </w:p>
    <w:p w:rsidR="00A52593" w:rsidRPr="00C90E8A" w:rsidRDefault="00A52593" w:rsidP="00C90E8A">
      <w:pPr>
        <w:shd w:val="clear" w:color="auto" w:fill="FFFFFF"/>
        <w:spacing w:line="300" w:lineRule="atLeast"/>
        <w:ind w:left="-60" w:firstLine="760"/>
        <w:jc w:val="both"/>
        <w:textAlignment w:val="baseline"/>
        <w:rPr>
          <w:color w:val="000000"/>
        </w:rPr>
      </w:pPr>
      <w:r w:rsidRPr="00C90E8A">
        <w:rPr>
          <w:color w:val="000000"/>
        </w:rPr>
        <w:t>Противоречия в электронной декларации по НДС</w:t>
      </w:r>
      <w:r w:rsidRPr="00C90E8A">
        <w:rPr>
          <w:rStyle w:val="apple-converted-space"/>
          <w:color w:val="000000"/>
        </w:rPr>
        <w:t> </w:t>
      </w:r>
      <w:hyperlink r:id="rId8" w:history="1">
        <w:r w:rsidRPr="00C90E8A">
          <w:rPr>
            <w:rStyle w:val="Hyperlink"/>
            <w:bdr w:val="none" w:sz="0" w:space="0" w:color="auto" w:frame="1"/>
          </w:rPr>
          <w:t>нельзя пояснять</w:t>
        </w:r>
      </w:hyperlink>
      <w:r w:rsidRPr="00C90E8A">
        <w:rPr>
          <w:rStyle w:val="apple-converted-space"/>
        </w:rPr>
        <w:t> </w:t>
      </w:r>
      <w:r w:rsidRPr="00C90E8A">
        <w:rPr>
          <w:color w:val="000000"/>
        </w:rPr>
        <w:t>на бумаге. Если при камеральной проверке налоговая запросит пояснения у лица, обязанного сдавать электронную декларацию по НДС, направить их можно только в электронной форме по ТКС. Пояснения на бумажном носителе не считаются представленными.</w:t>
      </w:r>
    </w:p>
    <w:p w:rsidR="00A52593" w:rsidRPr="00C90E8A" w:rsidRDefault="00A52593" w:rsidP="00C90E8A">
      <w:pPr>
        <w:shd w:val="clear" w:color="auto" w:fill="FFFFFF"/>
        <w:spacing w:line="300" w:lineRule="atLeast"/>
        <w:ind w:left="-60" w:firstLine="760"/>
        <w:jc w:val="both"/>
        <w:textAlignment w:val="baseline"/>
      </w:pPr>
      <w:r w:rsidRPr="00C90E8A">
        <w:rPr>
          <w:color w:val="000000"/>
        </w:rPr>
        <w:t>Теперь бухгалтерам нужно платить налог на прибыль</w:t>
      </w:r>
      <w:r w:rsidRPr="00C90E8A">
        <w:rPr>
          <w:rStyle w:val="apple-converted-space"/>
          <w:color w:val="000000"/>
        </w:rPr>
        <w:t> </w:t>
      </w:r>
      <w:hyperlink r:id="rId9" w:history="1">
        <w:r w:rsidRPr="00C90E8A">
          <w:rPr>
            <w:rStyle w:val="Hyperlink"/>
            <w:bdr w:val="none" w:sz="0" w:space="0" w:color="auto" w:frame="1"/>
          </w:rPr>
          <w:t>по–новому</w:t>
        </w:r>
      </w:hyperlink>
      <w:r w:rsidRPr="00C90E8A">
        <w:rPr>
          <w:rStyle w:val="apple-converted-space"/>
        </w:rPr>
        <w:t> </w:t>
      </w:r>
      <w:r w:rsidRPr="00C90E8A">
        <w:rPr>
          <w:color w:val="000000"/>
        </w:rPr>
        <w:t>— не 2 и 18%, а 3 и 17%. Общая</w:t>
      </w:r>
      <w:r w:rsidRPr="00C90E8A">
        <w:rPr>
          <w:rStyle w:val="apple-converted-space"/>
          <w:color w:val="000000"/>
        </w:rPr>
        <w:t> </w:t>
      </w:r>
      <w:hyperlink r:id="rId10" w:history="1">
        <w:r w:rsidRPr="00C90E8A">
          <w:rPr>
            <w:rStyle w:val="Hyperlink"/>
            <w:bdr w:val="none" w:sz="0" w:space="0" w:color="auto" w:frame="1"/>
          </w:rPr>
          <w:t>ставка 20%</w:t>
        </w:r>
      </w:hyperlink>
      <w:r w:rsidRPr="00C90E8A">
        <w:rPr>
          <w:rStyle w:val="apple-converted-space"/>
        </w:rPr>
        <w:t> </w:t>
      </w:r>
      <w:r w:rsidRPr="00C90E8A">
        <w:rPr>
          <w:color w:val="000000"/>
        </w:rPr>
        <w:t>по налогу на прибыль не изменилась, но поступившие денежные средства распределяются между бюджетами уже иначе.</w:t>
      </w:r>
    </w:p>
    <w:sectPr w:rsidR="00A52593" w:rsidRPr="00C90E8A" w:rsidSect="007B16FF">
      <w:headerReference w:type="even" r:id="rId11"/>
      <w:headerReference w:type="default" r:id="rId12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593" w:rsidRDefault="00A52593" w:rsidP="00277079">
      <w:r>
        <w:separator/>
      </w:r>
    </w:p>
  </w:endnote>
  <w:endnote w:type="continuationSeparator" w:id="1">
    <w:p w:rsidR="00A52593" w:rsidRDefault="00A52593" w:rsidP="00277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593" w:rsidRDefault="00A52593" w:rsidP="00277079">
      <w:r>
        <w:separator/>
      </w:r>
    </w:p>
  </w:footnote>
  <w:footnote w:type="continuationSeparator" w:id="1">
    <w:p w:rsidR="00A52593" w:rsidRDefault="00A52593" w:rsidP="00277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93" w:rsidRDefault="00A52593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2593" w:rsidRDefault="00A525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593" w:rsidRDefault="00A52593" w:rsidP="009D04D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52593" w:rsidRDefault="00A525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2F0CD8"/>
    <w:multiLevelType w:val="hybridMultilevel"/>
    <w:tmpl w:val="87AE8E0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F7E"/>
    <w:rsid w:val="0000731C"/>
    <w:rsid w:val="00021103"/>
    <w:rsid w:val="000A64ED"/>
    <w:rsid w:val="000F7611"/>
    <w:rsid w:val="001E7A43"/>
    <w:rsid w:val="0020717F"/>
    <w:rsid w:val="00211D43"/>
    <w:rsid w:val="00277079"/>
    <w:rsid w:val="003414F8"/>
    <w:rsid w:val="003524A6"/>
    <w:rsid w:val="00362CD4"/>
    <w:rsid w:val="003A4594"/>
    <w:rsid w:val="003A50C5"/>
    <w:rsid w:val="003F737F"/>
    <w:rsid w:val="0045012D"/>
    <w:rsid w:val="00500C8C"/>
    <w:rsid w:val="0054065A"/>
    <w:rsid w:val="00590F8F"/>
    <w:rsid w:val="0064317F"/>
    <w:rsid w:val="006D58B6"/>
    <w:rsid w:val="006F4E77"/>
    <w:rsid w:val="00781CA2"/>
    <w:rsid w:val="007B16FF"/>
    <w:rsid w:val="007C7674"/>
    <w:rsid w:val="008152BF"/>
    <w:rsid w:val="008547A4"/>
    <w:rsid w:val="008555E9"/>
    <w:rsid w:val="009222B9"/>
    <w:rsid w:val="009D04D1"/>
    <w:rsid w:val="00A07307"/>
    <w:rsid w:val="00A52593"/>
    <w:rsid w:val="00A746C7"/>
    <w:rsid w:val="00C528E7"/>
    <w:rsid w:val="00C65955"/>
    <w:rsid w:val="00C90E8A"/>
    <w:rsid w:val="00C95D5F"/>
    <w:rsid w:val="00CB634C"/>
    <w:rsid w:val="00D82E0A"/>
    <w:rsid w:val="00F16190"/>
    <w:rsid w:val="00F33CD1"/>
    <w:rsid w:val="00F644E0"/>
    <w:rsid w:val="00F8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F7E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11D43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0C8C"/>
    <w:rPr>
      <w:rFonts w:ascii="Cambria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F82F7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211D4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C95D5F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5D5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90F8F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C95D5F"/>
    <w:rPr>
      <w:rFonts w:cs="Times New Roman"/>
    </w:rPr>
  </w:style>
  <w:style w:type="paragraph" w:customStyle="1" w:styleId="ConsNonformat">
    <w:name w:val="ConsNonformat"/>
    <w:uiPriority w:val="99"/>
    <w:rsid w:val="00C95D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C95D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90F8F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DefaultParagraphFont"/>
    <w:uiPriority w:val="99"/>
    <w:rsid w:val="00C90E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main?base=LAW;n=203342;dst=10001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main?base=QUEST;n=164915;dst=100009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main?base=LAW;n=200297;dst=112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main?base=LAW;n=203342;dst=1001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353</Words>
  <Characters>2014</Characters>
  <Application>Microsoft Office Outlook</Application>
  <DocSecurity>0</DocSecurity>
  <Lines>0</Lines>
  <Paragraphs>0</Paragraphs>
  <ScaleCrop>false</ScaleCrop>
  <Company>ИФНС 2352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Акишина Елена Аркадьевна</dc:creator>
  <cp:keywords/>
  <dc:description/>
  <cp:lastModifiedBy>1</cp:lastModifiedBy>
  <cp:revision>9</cp:revision>
  <cp:lastPrinted>2017-02-06T13:04:00Z</cp:lastPrinted>
  <dcterms:created xsi:type="dcterms:W3CDTF">2016-08-12T09:58:00Z</dcterms:created>
  <dcterms:modified xsi:type="dcterms:W3CDTF">2017-02-16T14:48:00Z</dcterms:modified>
</cp:coreProperties>
</file>