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56" w:rsidRDefault="001821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4717"/>
      </w:tblGrid>
      <w:tr w:rsidR="00182156" w:rsidRPr="00DE34F0" w:rsidTr="00F6168B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182156" w:rsidRDefault="0019484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</w:t>
            </w:r>
            <w:r w:rsidR="00625CD6">
              <w:rPr>
                <w:rFonts w:ascii="Times New Roman" w:hAnsi="Times New Roman"/>
                <w:color w:val="000000"/>
                <w:sz w:val="28"/>
              </w:rPr>
              <w:t>07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» </w:t>
            </w:r>
            <w:r w:rsidR="00625CD6">
              <w:rPr>
                <w:rFonts w:ascii="Times New Roman" w:hAnsi="Times New Roman"/>
                <w:color w:val="000000"/>
                <w:sz w:val="28"/>
              </w:rPr>
              <w:t>ноября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</w:rPr>
              <w:t xml:space="preserve"> 2024</w:t>
            </w:r>
            <w:r w:rsidR="008B2F83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 xml:space="preserve">г. № </w:t>
            </w:r>
            <w:r w:rsidR="00625CD6">
              <w:rPr>
                <w:rFonts w:ascii="Times New Roman" w:hAnsi="Times New Roman"/>
                <w:color w:val="000000"/>
                <w:sz w:val="28"/>
              </w:rPr>
              <w:t>246</w:t>
            </w:r>
          </w:p>
          <w:p w:rsidR="00182156" w:rsidRPr="00DE34F0" w:rsidRDefault="00182156"/>
        </w:tc>
      </w:tr>
    </w:tbl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p w:rsidR="00182156" w:rsidRDefault="001821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</w:t>
      </w:r>
      <w:r w:rsidR="00194843">
        <w:rPr>
          <w:rFonts w:ascii="Times New Roman" w:hAnsi="Times New Roman"/>
          <w:b/>
          <w:sz w:val="28"/>
        </w:rPr>
        <w:t xml:space="preserve">контролю </w:t>
      </w:r>
      <w:r w:rsidR="00194843" w:rsidRPr="00933CB8"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автомобильном транспорте и в дорожном хозяйстве в границах населенного пункта</w:t>
      </w:r>
      <w:r w:rsidRPr="0045789A">
        <w:rPr>
          <w:rFonts w:ascii="Times New Roman" w:hAnsi="Times New Roman"/>
          <w:b/>
          <w:sz w:val="28"/>
        </w:rPr>
        <w:t xml:space="preserve"> Старотитаровского сельского поселения Темрюкского района</w:t>
      </w:r>
      <w:r w:rsidR="00194843">
        <w:rPr>
          <w:rFonts w:ascii="Times New Roman" w:hAnsi="Times New Roman"/>
          <w:b/>
          <w:sz w:val="28"/>
        </w:rPr>
        <w:t xml:space="preserve"> на 2025</w:t>
      </w:r>
      <w:r>
        <w:rPr>
          <w:rFonts w:ascii="Times New Roman" w:hAnsi="Times New Roman"/>
          <w:b/>
          <w:sz w:val="28"/>
        </w:rPr>
        <w:t xml:space="preserve"> год</w:t>
      </w: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182156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района.</w:t>
      </w:r>
    </w:p>
    <w:p w:rsidR="00182156" w:rsidRPr="00A8668F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182156" w:rsidRPr="003E52F1" w:rsidRDefault="00182156" w:rsidP="002E0169">
      <w:pPr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3E52F1">
        <w:rPr>
          <w:rFonts w:ascii="Times New Roman" w:hAnsi="Times New Roman"/>
          <w:b/>
          <w:color w:val="000000"/>
          <w:sz w:val="28"/>
        </w:rPr>
        <w:t>ПАСПОРТ  ПРОГРАММЫ</w:t>
      </w:r>
    </w:p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0"/>
        <w:gridCol w:w="6403"/>
      </w:tblGrid>
      <w:tr w:rsidR="001821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933CB8" w:rsidRDefault="001821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Старотитаровского сельского посе</w:t>
            </w:r>
            <w:r w:rsidR="00194843">
              <w:rPr>
                <w:rFonts w:ascii="Times New Roman" w:hAnsi="Times New Roman"/>
                <w:sz w:val="28"/>
              </w:rPr>
              <w:t>ления Темрюкского района на 2025</w:t>
            </w:r>
            <w:r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1821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</w:t>
            </w:r>
            <w:r>
              <w:rPr>
                <w:rFonts w:ascii="Times New Roman" w:hAnsi="Times New Roman"/>
                <w:sz w:val="28"/>
              </w:rPr>
              <w:lastRenderedPageBreak/>
              <w:t>причинения вреда (ущерба) охраняемым законом ценностям».</w:t>
            </w:r>
          </w:p>
          <w:p w:rsidR="00182156" w:rsidRPr="00B341F1" w:rsidRDefault="001821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1821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21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94843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1821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Default="00182156" w:rsidP="002E0169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 w:rsidRPr="00B341F1">
        <w:rPr>
          <w:rFonts w:ascii="Times New Roman" w:hAnsi="Times New Roman"/>
          <w:sz w:val="28"/>
        </w:rPr>
        <w:t>Старотитаровского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  (далее именуется – муниципальный контроль).</w:t>
      </w: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контролю за соблюдением юридическими лицами, индивидуальными предпринимателями и физическими лицами обязательных требований: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82156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182156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182156" w:rsidRPr="00B341F1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3"/>
        <w:gridCol w:w="2696"/>
        <w:gridCol w:w="3274"/>
        <w:gridCol w:w="2320"/>
        <w:gridCol w:w="1422"/>
      </w:tblGrid>
      <w:tr w:rsidR="001821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посредством размещения сведений, определенных частью 3 статьи 46 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Время разговора по телефону не должно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проводится инспектором в форме профилактической беседы по месту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осуществления деятельности контролируемого лица либо путем использования видео-конференц-связи.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Продолжительность профилактического визита составляет не более двух часов в течение рабочего дня.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направляет контролируемому лицу уведомление о проведении профилактического визита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не позднее чем за пять рабочих дней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</w:tbl>
    <w:p w:rsidR="00182156" w:rsidRPr="004D5B48" w:rsidRDefault="00182156">
      <w:pPr>
        <w:jc w:val="both"/>
        <w:rPr>
          <w:rFonts w:ascii="Times New Roman" w:hAnsi="Times New Roman"/>
          <w:sz w:val="28"/>
          <w:szCs w:val="28"/>
        </w:rPr>
      </w:pP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lastRenderedPageBreak/>
        <w:t>Доля вынесенных судебных решений о назначении административного наказания по материалам контрольного органа - 95%.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 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Старотитаровского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Темрюкского района                            </w:t>
      </w:r>
      <w:r w:rsidR="008B2F83">
        <w:rPr>
          <w:rFonts w:ascii="Times New Roman" w:hAnsi="Times New Roman"/>
          <w:sz w:val="28"/>
        </w:rPr>
        <w:t>Д.Д. Янчиленко</w:t>
      </w:r>
    </w:p>
    <w:sectPr w:rsidR="001821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43"/>
    <w:rsid w:val="00112664"/>
    <w:rsid w:val="00182156"/>
    <w:rsid w:val="00194843"/>
    <w:rsid w:val="00254837"/>
    <w:rsid w:val="002E0169"/>
    <w:rsid w:val="003D184A"/>
    <w:rsid w:val="003E52F1"/>
    <w:rsid w:val="0045789A"/>
    <w:rsid w:val="00480043"/>
    <w:rsid w:val="004D5B48"/>
    <w:rsid w:val="005045AE"/>
    <w:rsid w:val="005E3115"/>
    <w:rsid w:val="00625CD6"/>
    <w:rsid w:val="00692ACC"/>
    <w:rsid w:val="00737476"/>
    <w:rsid w:val="00753951"/>
    <w:rsid w:val="008B2F83"/>
    <w:rsid w:val="00914D3B"/>
    <w:rsid w:val="00933CB8"/>
    <w:rsid w:val="009D47D7"/>
    <w:rsid w:val="00A8668F"/>
    <w:rsid w:val="00B341F1"/>
    <w:rsid w:val="00C77829"/>
    <w:rsid w:val="00CD38EB"/>
    <w:rsid w:val="00DA1B67"/>
    <w:rsid w:val="00DC7D9F"/>
    <w:rsid w:val="00DE34F0"/>
    <w:rsid w:val="00E8626C"/>
    <w:rsid w:val="00EF4E88"/>
    <w:rsid w:val="00F33EC0"/>
    <w:rsid w:val="00F60633"/>
    <w:rsid w:val="00F6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C1D05F-C08A-4C6F-B854-69DA9A1A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E01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sid w:val="00202CD9"/>
    <w:rPr>
      <w:rFonts w:ascii="Times New Roman" w:hAnsi="Times New Roman"/>
      <w:sz w:val="0"/>
      <w:szCs w:val="0"/>
    </w:rPr>
  </w:style>
  <w:style w:type="paragraph" w:styleId="a6">
    <w:name w:val="Balloon Text"/>
    <w:basedOn w:val="a"/>
    <w:link w:val="a7"/>
    <w:uiPriority w:val="99"/>
    <w:semiHidden/>
    <w:unhideWhenUsed/>
    <w:rsid w:val="008B2F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8B2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Инга Анатольевна</cp:lastModifiedBy>
  <cp:revision>5</cp:revision>
  <cp:lastPrinted>2024-01-18T12:07:00Z</cp:lastPrinted>
  <dcterms:created xsi:type="dcterms:W3CDTF">2024-09-25T06:26:00Z</dcterms:created>
  <dcterms:modified xsi:type="dcterms:W3CDTF">2024-11-08T08:44:00Z</dcterms:modified>
</cp:coreProperties>
</file>