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CFB" w:rsidRDefault="00417CFB" w:rsidP="00F92BC5">
      <w:pPr>
        <w:widowControl/>
        <w:autoSpaceDE/>
        <w:autoSpaceDN/>
        <w:adjustRightInd/>
        <w:spacing w:line="259" w:lineRule="auto"/>
        <w:ind w:firstLine="0"/>
        <w:rPr>
          <w:rFonts w:ascii="Times New Roman" w:eastAsia="Times New Roman" w:hAnsi="Times New Roman" w:cs="Times New Roman"/>
          <w:bCs/>
          <w:iCs/>
          <w:color w:val="000000"/>
          <w:sz w:val="28"/>
          <w:szCs w:val="28"/>
        </w:rPr>
      </w:pPr>
      <w:bookmarkStart w:id="0" w:name="sub_16"/>
      <w:bookmarkStart w:id="1" w:name="sub_162"/>
    </w:p>
    <w:tbl>
      <w:tblPr>
        <w:tblStyle w:val="ac"/>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tblGrid>
      <w:tr w:rsidR="00832E18" w:rsidTr="002B7D00">
        <w:tc>
          <w:tcPr>
            <w:tcW w:w="5103" w:type="dxa"/>
          </w:tcPr>
          <w:p w:rsidR="00832E18" w:rsidRPr="00832E18" w:rsidRDefault="00832E18" w:rsidP="002B7D00">
            <w:pPr>
              <w:widowControl/>
              <w:autoSpaceDE/>
              <w:autoSpaceDN/>
              <w:adjustRightInd/>
              <w:spacing w:line="259" w:lineRule="auto"/>
              <w:ind w:firstLine="0"/>
              <w:jc w:val="right"/>
              <w:rPr>
                <w:rFonts w:ascii="Times New Roman" w:eastAsia="Times New Roman" w:hAnsi="Times New Roman" w:cs="Times New Roman"/>
                <w:bCs/>
                <w:iCs/>
                <w:color w:val="000000"/>
                <w:sz w:val="28"/>
                <w:szCs w:val="28"/>
              </w:rPr>
            </w:pPr>
            <w:r w:rsidRPr="00832E18">
              <w:rPr>
                <w:rFonts w:ascii="Times New Roman" w:eastAsia="Times New Roman" w:hAnsi="Times New Roman" w:cs="Times New Roman"/>
                <w:bCs/>
                <w:iCs/>
                <w:color w:val="000000"/>
                <w:sz w:val="28"/>
                <w:szCs w:val="28"/>
              </w:rPr>
              <w:t xml:space="preserve">Приложение </w:t>
            </w:r>
            <w:bookmarkStart w:id="2" w:name="_GoBack"/>
            <w:bookmarkEnd w:id="2"/>
            <w:r w:rsidR="002B7D00">
              <w:rPr>
                <w:rFonts w:ascii="Times New Roman" w:eastAsia="Times New Roman" w:hAnsi="Times New Roman" w:cs="Times New Roman"/>
                <w:bCs/>
                <w:iCs/>
                <w:color w:val="000000"/>
                <w:sz w:val="28"/>
                <w:szCs w:val="28"/>
              </w:rPr>
              <w:t>1</w:t>
            </w:r>
          </w:p>
          <w:p w:rsidR="00433063" w:rsidRPr="002F675C" w:rsidRDefault="00433063" w:rsidP="002B7D00">
            <w:pPr>
              <w:widowControl/>
              <w:autoSpaceDE/>
              <w:autoSpaceDN/>
              <w:adjustRightInd/>
              <w:spacing w:line="259" w:lineRule="auto"/>
              <w:ind w:firstLine="0"/>
              <w:jc w:val="right"/>
              <w:rPr>
                <w:rFonts w:ascii="Times New Roman" w:eastAsia="Times New Roman" w:hAnsi="Times New Roman" w:cs="Times New Roman"/>
                <w:bCs/>
                <w:iCs/>
                <w:color w:val="000000"/>
                <w:sz w:val="28"/>
                <w:szCs w:val="28"/>
              </w:rPr>
            </w:pPr>
            <w:r w:rsidRPr="002F675C">
              <w:rPr>
                <w:rFonts w:ascii="Times New Roman" w:eastAsia="Times New Roman" w:hAnsi="Times New Roman" w:cs="Times New Roman"/>
                <w:bCs/>
                <w:iCs/>
                <w:color w:val="000000"/>
                <w:sz w:val="28"/>
                <w:szCs w:val="28"/>
              </w:rPr>
              <w:t>к Положению</w:t>
            </w:r>
          </w:p>
          <w:p w:rsidR="002B7D00" w:rsidRPr="002B7D00" w:rsidRDefault="002B7D00" w:rsidP="002B7D00">
            <w:pPr>
              <w:pStyle w:val="1"/>
              <w:spacing w:before="0" w:after="0"/>
              <w:jc w:val="right"/>
              <w:outlineLvl w:val="0"/>
              <w:rPr>
                <w:rFonts w:ascii="Times New Roman" w:hAnsi="Times New Roman" w:cs="Times New Roman"/>
                <w:b w:val="0"/>
                <w:color w:val="auto"/>
                <w:sz w:val="28"/>
                <w:szCs w:val="28"/>
              </w:rPr>
            </w:pPr>
            <w:r w:rsidRPr="002B7D00">
              <w:rPr>
                <w:rFonts w:ascii="Times New Roman" w:hAnsi="Times New Roman" w:cs="Times New Roman"/>
                <w:b w:val="0"/>
                <w:color w:val="auto"/>
                <w:sz w:val="28"/>
                <w:szCs w:val="28"/>
              </w:rPr>
              <w:t>об оплате труда работников</w:t>
            </w:r>
          </w:p>
          <w:p w:rsidR="002B7D00" w:rsidRPr="002B7D00" w:rsidRDefault="002B7D00" w:rsidP="002B7D00">
            <w:pPr>
              <w:pStyle w:val="1"/>
              <w:spacing w:before="0" w:after="0"/>
              <w:jc w:val="right"/>
              <w:outlineLvl w:val="0"/>
              <w:rPr>
                <w:rFonts w:ascii="Times New Roman" w:hAnsi="Times New Roman" w:cs="Times New Roman"/>
                <w:b w:val="0"/>
                <w:color w:val="auto"/>
                <w:sz w:val="28"/>
                <w:szCs w:val="28"/>
              </w:rPr>
            </w:pPr>
            <w:r w:rsidRPr="002B7D00">
              <w:rPr>
                <w:rFonts w:ascii="Times New Roman" w:hAnsi="Times New Roman" w:cs="Times New Roman"/>
                <w:b w:val="0"/>
                <w:color w:val="auto"/>
                <w:sz w:val="28"/>
                <w:szCs w:val="28"/>
              </w:rPr>
              <w:t xml:space="preserve"> муниципального бюджетного учреждения «Культурно-социальный центр» Старотитаровского сельского поселения Темрюкского района </w:t>
            </w:r>
          </w:p>
          <w:p w:rsidR="002B7D00" w:rsidRPr="00304F11" w:rsidRDefault="002B7D00" w:rsidP="002B7D00"/>
          <w:p w:rsidR="00832E18" w:rsidRDefault="00832E18" w:rsidP="002B7D00">
            <w:pPr>
              <w:pStyle w:val="1"/>
              <w:spacing w:before="0" w:after="0"/>
              <w:jc w:val="right"/>
              <w:rPr>
                <w:rFonts w:ascii="Times New Roman" w:eastAsia="Times New Roman" w:hAnsi="Times New Roman" w:cs="Times New Roman"/>
                <w:bCs w:val="0"/>
                <w:iCs/>
                <w:color w:val="000000"/>
                <w:sz w:val="28"/>
                <w:szCs w:val="28"/>
              </w:rPr>
            </w:pPr>
          </w:p>
        </w:tc>
      </w:tr>
    </w:tbl>
    <w:p w:rsidR="00F92BC5" w:rsidRPr="00287A55" w:rsidRDefault="00F92BC5"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Pr="008C38F1" w:rsidRDefault="008C38F1" w:rsidP="008C38F1">
      <w:pPr>
        <w:widowControl/>
        <w:autoSpaceDE/>
        <w:autoSpaceDN/>
        <w:adjustRightInd/>
        <w:spacing w:line="259" w:lineRule="auto"/>
        <w:ind w:firstLine="0"/>
        <w:jc w:val="center"/>
        <w:rPr>
          <w:rFonts w:ascii="Times New Roman" w:hAnsi="Times New Roman" w:cs="Times New Roman"/>
          <w:sz w:val="28"/>
          <w:szCs w:val="28"/>
        </w:rPr>
      </w:pPr>
      <w:r w:rsidRPr="008C38F1">
        <w:rPr>
          <w:rFonts w:ascii="Times New Roman" w:hAnsi="Times New Roman" w:cs="Times New Roman"/>
          <w:sz w:val="28"/>
          <w:szCs w:val="28"/>
        </w:rPr>
        <w:t>Поряд</w:t>
      </w:r>
      <w:r w:rsidR="00B83A0C">
        <w:rPr>
          <w:rFonts w:ascii="Times New Roman" w:hAnsi="Times New Roman" w:cs="Times New Roman"/>
          <w:sz w:val="28"/>
          <w:szCs w:val="28"/>
        </w:rPr>
        <w:t>о</w:t>
      </w:r>
      <w:r w:rsidRPr="008C38F1">
        <w:rPr>
          <w:rFonts w:ascii="Times New Roman" w:hAnsi="Times New Roman" w:cs="Times New Roman"/>
          <w:sz w:val="28"/>
          <w:szCs w:val="28"/>
        </w:rPr>
        <w:t>к</w:t>
      </w:r>
    </w:p>
    <w:p w:rsidR="008C38F1" w:rsidRPr="00433063" w:rsidRDefault="008C38F1" w:rsidP="008C38F1">
      <w:pPr>
        <w:widowControl/>
        <w:autoSpaceDE/>
        <w:autoSpaceDN/>
        <w:adjustRightInd/>
        <w:spacing w:line="259" w:lineRule="auto"/>
        <w:ind w:firstLine="0"/>
        <w:jc w:val="center"/>
        <w:rPr>
          <w:rFonts w:ascii="Times New Roman" w:hAnsi="Times New Roman" w:cs="Times New Roman"/>
          <w:sz w:val="28"/>
          <w:szCs w:val="28"/>
        </w:rPr>
      </w:pPr>
      <w:r w:rsidRPr="00433063">
        <w:rPr>
          <w:rFonts w:ascii="Times New Roman" w:hAnsi="Times New Roman" w:cs="Times New Roman"/>
          <w:sz w:val="28"/>
          <w:szCs w:val="28"/>
        </w:rPr>
        <w:t xml:space="preserve">исчисления размера средней заработной платы для определения </w:t>
      </w:r>
    </w:p>
    <w:p w:rsidR="00433063" w:rsidRDefault="008C38F1" w:rsidP="00433063">
      <w:pPr>
        <w:pStyle w:val="1"/>
        <w:spacing w:before="0" w:after="0"/>
        <w:rPr>
          <w:rFonts w:ascii="Times New Roman" w:hAnsi="Times New Roman" w:cs="Times New Roman"/>
          <w:b w:val="0"/>
          <w:sz w:val="28"/>
          <w:szCs w:val="28"/>
        </w:rPr>
      </w:pPr>
      <w:r w:rsidRPr="00433063">
        <w:rPr>
          <w:rFonts w:ascii="Times New Roman" w:hAnsi="Times New Roman" w:cs="Times New Roman"/>
          <w:b w:val="0"/>
          <w:sz w:val="28"/>
          <w:szCs w:val="28"/>
        </w:rPr>
        <w:t>размера до</w:t>
      </w:r>
      <w:r w:rsidR="00B83A0C" w:rsidRPr="00433063">
        <w:rPr>
          <w:rFonts w:ascii="Times New Roman" w:hAnsi="Times New Roman" w:cs="Times New Roman"/>
          <w:b w:val="0"/>
          <w:sz w:val="28"/>
          <w:szCs w:val="28"/>
        </w:rPr>
        <w:t>лжностного оклада</w:t>
      </w:r>
      <w:r w:rsidR="00817754">
        <w:rPr>
          <w:rFonts w:ascii="Times New Roman" w:hAnsi="Times New Roman" w:cs="Times New Roman"/>
          <w:b w:val="0"/>
          <w:sz w:val="28"/>
          <w:szCs w:val="28"/>
        </w:rPr>
        <w:t xml:space="preserve"> руководителя</w:t>
      </w:r>
      <w:r w:rsidR="00B83A0C" w:rsidRPr="00433063">
        <w:rPr>
          <w:rFonts w:ascii="Times New Roman" w:hAnsi="Times New Roman" w:cs="Times New Roman"/>
          <w:b w:val="0"/>
          <w:sz w:val="28"/>
          <w:szCs w:val="28"/>
        </w:rPr>
        <w:t xml:space="preserve"> </w:t>
      </w:r>
      <w:r w:rsidR="00817754" w:rsidRPr="002B7D00">
        <w:rPr>
          <w:rFonts w:ascii="Times New Roman" w:hAnsi="Times New Roman" w:cs="Times New Roman"/>
          <w:b w:val="0"/>
          <w:color w:val="auto"/>
          <w:sz w:val="28"/>
          <w:szCs w:val="28"/>
        </w:rPr>
        <w:t>муниципального бюджетного учреждения «Культурно-социальный центр» Старотитаровского сельского поселения Темрюкского района</w:t>
      </w:r>
    </w:p>
    <w:p w:rsidR="00817754" w:rsidRPr="00817754" w:rsidRDefault="00817754" w:rsidP="00817754"/>
    <w:p w:rsidR="008C38F1" w:rsidRPr="00433063" w:rsidRDefault="008C38F1" w:rsidP="00433063">
      <w:pPr>
        <w:pStyle w:val="1"/>
        <w:spacing w:before="0" w:after="0"/>
        <w:ind w:firstLine="709"/>
        <w:jc w:val="both"/>
        <w:rPr>
          <w:rFonts w:ascii="Times New Roman" w:hAnsi="Times New Roman" w:cs="Times New Roman"/>
          <w:b w:val="0"/>
          <w:sz w:val="28"/>
          <w:szCs w:val="28"/>
        </w:rPr>
      </w:pPr>
      <w:r w:rsidRPr="00433063">
        <w:rPr>
          <w:rFonts w:ascii="Times New Roman" w:eastAsiaTheme="minorHAnsi" w:hAnsi="Times New Roman" w:cs="Times New Roman"/>
          <w:b w:val="0"/>
          <w:sz w:val="28"/>
          <w:szCs w:val="28"/>
          <w:lang w:eastAsia="en-US"/>
        </w:rPr>
        <w:t xml:space="preserve">1. Порядок исчисления размера средней заработной платы для определения размера должностного оклада </w:t>
      </w:r>
      <w:r w:rsidR="00433063" w:rsidRPr="00433063">
        <w:rPr>
          <w:rFonts w:ascii="Times New Roman" w:hAnsi="Times New Roman" w:cs="Times New Roman"/>
          <w:b w:val="0"/>
          <w:sz w:val="28"/>
          <w:szCs w:val="28"/>
        </w:rPr>
        <w:t>руководител</w:t>
      </w:r>
      <w:r w:rsidR="0021316A">
        <w:rPr>
          <w:rFonts w:ascii="Times New Roman" w:hAnsi="Times New Roman" w:cs="Times New Roman"/>
          <w:b w:val="0"/>
          <w:sz w:val="28"/>
          <w:szCs w:val="28"/>
        </w:rPr>
        <w:t>я</w:t>
      </w:r>
      <w:r w:rsidR="00433063" w:rsidRPr="00433063">
        <w:rPr>
          <w:rFonts w:ascii="Times New Roman" w:hAnsi="Times New Roman" w:cs="Times New Roman"/>
          <w:b w:val="0"/>
          <w:sz w:val="28"/>
          <w:szCs w:val="28"/>
        </w:rPr>
        <w:t xml:space="preserve"> </w:t>
      </w:r>
      <w:r w:rsidR="0021316A" w:rsidRPr="002B7D00">
        <w:rPr>
          <w:rFonts w:ascii="Times New Roman" w:hAnsi="Times New Roman" w:cs="Times New Roman"/>
          <w:b w:val="0"/>
          <w:color w:val="auto"/>
          <w:sz w:val="28"/>
          <w:szCs w:val="28"/>
        </w:rPr>
        <w:t>муниципального бюджетного учреждения «Культурно-социальный центр» Старотитаровского сельского поселения Темрюкского района</w:t>
      </w:r>
      <w:r w:rsidR="0021316A" w:rsidRPr="00433063">
        <w:rPr>
          <w:rFonts w:ascii="Times New Roman" w:hAnsi="Times New Roman" w:cs="Times New Roman"/>
          <w:b w:val="0"/>
          <w:color w:val="auto"/>
          <w:sz w:val="28"/>
          <w:szCs w:val="28"/>
        </w:rPr>
        <w:t xml:space="preserve"> </w:t>
      </w:r>
      <w:r w:rsidRPr="00433063">
        <w:rPr>
          <w:rFonts w:ascii="Times New Roman" w:eastAsiaTheme="minorHAnsi" w:hAnsi="Times New Roman" w:cs="Times New Roman"/>
          <w:b w:val="0"/>
          <w:sz w:val="28"/>
          <w:szCs w:val="28"/>
          <w:lang w:eastAsia="en-US"/>
        </w:rPr>
        <w:t xml:space="preserve">(далее - Порядок) определяет правила исчисления средней заработной </w:t>
      </w:r>
      <w:proofErr w:type="gramStart"/>
      <w:r w:rsidRPr="00433063">
        <w:rPr>
          <w:rFonts w:ascii="Times New Roman" w:eastAsiaTheme="minorHAnsi" w:hAnsi="Times New Roman" w:cs="Times New Roman"/>
          <w:b w:val="0"/>
          <w:sz w:val="28"/>
          <w:szCs w:val="28"/>
          <w:lang w:eastAsia="en-US"/>
        </w:rPr>
        <w:t xml:space="preserve">платы для определения размера должностного оклада руководителя </w:t>
      </w:r>
      <w:r w:rsidR="00433063">
        <w:rPr>
          <w:rFonts w:ascii="Times New Roman" w:eastAsiaTheme="minorHAnsi" w:hAnsi="Times New Roman" w:cs="Times New Roman"/>
          <w:b w:val="0"/>
          <w:sz w:val="28"/>
          <w:szCs w:val="28"/>
          <w:lang w:eastAsia="en-US"/>
        </w:rPr>
        <w:t xml:space="preserve"> муниципального бюджетного</w:t>
      </w:r>
      <w:r w:rsidRPr="00433063">
        <w:rPr>
          <w:rFonts w:ascii="Times New Roman" w:eastAsiaTheme="minorHAnsi" w:hAnsi="Times New Roman" w:cs="Times New Roman"/>
          <w:b w:val="0"/>
          <w:sz w:val="28"/>
          <w:szCs w:val="28"/>
          <w:lang w:eastAsia="en-US"/>
        </w:rPr>
        <w:t xml:space="preserve"> учреждения</w:t>
      </w:r>
      <w:proofErr w:type="gramEnd"/>
      <w:r w:rsidRPr="00433063">
        <w:rPr>
          <w:rFonts w:ascii="Times New Roman" w:eastAsiaTheme="minorHAnsi" w:hAnsi="Times New Roman" w:cs="Times New Roman"/>
          <w:b w:val="0"/>
          <w:sz w:val="28"/>
          <w:szCs w:val="28"/>
          <w:lang w:eastAsia="en-US"/>
        </w:rPr>
        <w:t>.</w:t>
      </w:r>
    </w:p>
    <w:p w:rsid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8C38F1" w:rsidRDefault="00B83A0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8C38F1" w:rsidRPr="008C38F1">
        <w:rPr>
          <w:rFonts w:ascii="Times New Roman" w:eastAsiaTheme="minorHAnsi" w:hAnsi="Times New Roman" w:cs="Times New Roman"/>
          <w:sz w:val="28"/>
          <w:szCs w:val="28"/>
          <w:lang w:eastAsia="en-US"/>
        </w:rPr>
        <w:t xml:space="preserve">. </w:t>
      </w:r>
      <w:proofErr w:type="gramStart"/>
      <w:r w:rsidR="008C38F1" w:rsidRPr="008C38F1">
        <w:rPr>
          <w:rFonts w:ascii="Times New Roman" w:eastAsiaTheme="minorHAnsi" w:hAnsi="Times New Roman" w:cs="Times New Roman"/>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roofErr w:type="gramEnd"/>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w:t>
      </w:r>
      <w:r w:rsidRPr="00151A35">
        <w:rPr>
          <w:rFonts w:ascii="Times New Roman" w:eastAsiaTheme="minorHAnsi" w:hAnsi="Times New Roman" w:cs="Times New Roman"/>
          <w:sz w:val="28"/>
          <w:szCs w:val="28"/>
          <w:lang w:eastAsia="en-US"/>
        </w:rPr>
        <w:t>полученных от иной приносящей доход деятельности.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8C38F1" w:rsidRDefault="003726D6"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3</w:t>
      </w:r>
      <w:r w:rsidR="008C38F1" w:rsidRPr="008C38F1">
        <w:rPr>
          <w:rFonts w:ascii="Times New Roman" w:eastAsiaTheme="minorHAnsi" w:hAnsi="Times New Roman" w:cs="Times New Roman"/>
          <w:sz w:val="28"/>
          <w:szCs w:val="28"/>
          <w:lang w:eastAsia="en-US"/>
        </w:rPr>
        <w:t>.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C47BCB">
        <w:rPr>
          <w:rFonts w:ascii="Times New Roman" w:eastAsiaTheme="minorHAnsi" w:hAnsi="Times New Roman" w:cs="Times New Roman"/>
          <w:sz w:val="28"/>
          <w:szCs w:val="28"/>
          <w:lang w:eastAsia="en-US"/>
        </w:rPr>
        <w:t>министерством</w:t>
      </w:r>
      <w:r w:rsidRPr="008C38F1">
        <w:rPr>
          <w:rFonts w:ascii="Times New Roman" w:eastAsiaTheme="minorHAnsi" w:hAnsi="Times New Roman" w:cs="Times New Roman"/>
          <w:sz w:val="28"/>
          <w:szCs w:val="28"/>
          <w:lang w:eastAsia="en-US"/>
        </w:rPr>
        <w:t>.</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8C38F1" w:rsidRPr="008C38F1">
        <w:rPr>
          <w:rFonts w:ascii="Times New Roman" w:eastAsiaTheme="minorHAnsi" w:hAnsi="Times New Roman" w:cs="Times New Roman"/>
          <w:sz w:val="28"/>
          <w:szCs w:val="28"/>
          <w:lang w:eastAsia="en-US"/>
        </w:rPr>
        <w:t>.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8C38F1" w:rsidRPr="008C38F1">
        <w:rPr>
          <w:rFonts w:ascii="Times New Roman" w:eastAsiaTheme="minorHAnsi" w:hAnsi="Times New Roman" w:cs="Times New Roman"/>
          <w:sz w:val="28"/>
          <w:szCs w:val="28"/>
          <w:lang w:eastAsia="en-US"/>
        </w:rPr>
        <w:t xml:space="preserve">. </w:t>
      </w:r>
      <w:proofErr w:type="gramStart"/>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roofErr w:type="gramEnd"/>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sidRPr="008C38F1">
        <w:rPr>
          <w:rFonts w:ascii="Times New Roman" w:eastAsiaTheme="minorHAnsi" w:hAnsi="Times New Roman" w:cs="Times New Roman"/>
          <w:sz w:val="28"/>
          <w:szCs w:val="28"/>
          <w:lang w:eastAsia="en-US"/>
        </w:rPr>
        <w:t>за</w:t>
      </w:r>
      <w:proofErr w:type="gramEnd"/>
      <w:r w:rsidRPr="008C38F1">
        <w:rPr>
          <w:rFonts w:ascii="Times New Roman" w:eastAsiaTheme="minorHAnsi" w:hAnsi="Times New Roman" w:cs="Times New Roman"/>
          <w:sz w:val="28"/>
          <w:szCs w:val="28"/>
          <w:lang w:eastAsia="en-US"/>
        </w:rPr>
        <w:t xml:space="preserve"> </w:t>
      </w:r>
      <w:proofErr w:type="gramStart"/>
      <w:r w:rsidRPr="008C38F1">
        <w:rPr>
          <w:rFonts w:ascii="Times New Roman" w:eastAsiaTheme="minorHAnsi" w:hAnsi="Times New Roman" w:cs="Times New Roman"/>
          <w:sz w:val="28"/>
          <w:szCs w:val="28"/>
          <w:lang w:eastAsia="en-US"/>
        </w:rPr>
        <w:t>рабочий</w:t>
      </w:r>
      <w:proofErr w:type="gramEnd"/>
      <w:r w:rsidRPr="008C38F1">
        <w:rPr>
          <w:rFonts w:ascii="Times New Roman" w:eastAsiaTheme="minorHAnsi" w:hAnsi="Times New Roman" w:cs="Times New Roman"/>
          <w:sz w:val="28"/>
          <w:szCs w:val="28"/>
          <w:lang w:eastAsia="en-US"/>
        </w:rPr>
        <w:t xml:space="preserve"> день, предшествовавший выходным или нерабочим праздничным дням.</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3" w:name="Par36"/>
      <w:bookmarkEnd w:id="3"/>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8C38F1" w:rsidRPr="008C38F1">
        <w:rPr>
          <w:rFonts w:ascii="Times New Roman" w:eastAsiaTheme="minorHAnsi" w:hAnsi="Times New Roman" w:cs="Times New Roman"/>
          <w:sz w:val="28"/>
          <w:szCs w:val="28"/>
          <w:lang w:eastAsia="en-US"/>
        </w:rPr>
        <w:t xml:space="preserve">.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w:t>
      </w:r>
      <w:r w:rsidR="008C38F1" w:rsidRPr="008C38F1">
        <w:rPr>
          <w:rFonts w:ascii="Times New Roman" w:eastAsiaTheme="minorHAnsi" w:hAnsi="Times New Roman" w:cs="Times New Roman"/>
          <w:sz w:val="28"/>
          <w:szCs w:val="28"/>
          <w:lang w:eastAsia="en-US"/>
        </w:rPr>
        <w:lastRenderedPageBreak/>
        <w:t>численности работников учреждения учитываются пропорционально отработанному времени.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Расчет средней численности этой категории работников производится в следующем порядке:</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8C38F1" w:rsidP="00947CCA">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Pr="008C38F1" w:rsidRDefault="00F2420B"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8C38F1" w:rsidRPr="003726D6">
          <w:rPr>
            <w:rFonts w:ascii="Times New Roman" w:eastAsiaTheme="minorHAnsi" w:hAnsi="Times New Roman" w:cs="Times New Roman"/>
            <w:sz w:val="28"/>
            <w:szCs w:val="28"/>
            <w:lang w:eastAsia="en-US"/>
          </w:rPr>
          <w:t xml:space="preserve">пункт </w:t>
        </w:r>
        <w:r w:rsidR="00433063">
          <w:rPr>
            <w:rFonts w:ascii="Times New Roman" w:eastAsiaTheme="minorHAnsi" w:hAnsi="Times New Roman" w:cs="Times New Roman"/>
            <w:sz w:val="28"/>
            <w:szCs w:val="28"/>
            <w:lang w:eastAsia="en-US"/>
          </w:rPr>
          <w:t>7</w:t>
        </w:r>
      </w:hyperlink>
      <w:r w:rsidR="008C38F1" w:rsidRPr="008C38F1">
        <w:rPr>
          <w:rFonts w:ascii="Times New Roman" w:eastAsiaTheme="minorHAnsi" w:hAnsi="Times New Roman" w:cs="Times New Roman"/>
          <w:sz w:val="28"/>
          <w:szCs w:val="28"/>
          <w:lang w:eastAsia="en-US"/>
        </w:rPr>
        <w:t xml:space="preserve"> настоящего Порядка).</w:t>
      </w:r>
    </w:p>
    <w:p w:rsidR="008C38F1" w:rsidRDefault="008C38F1" w:rsidP="008C38F1">
      <w:pPr>
        <w:widowControl/>
        <w:ind w:firstLine="0"/>
        <w:rPr>
          <w:rFonts w:ascii="Times New Roman" w:eastAsiaTheme="minorHAnsi" w:hAnsi="Times New Roman" w:cs="Times New Roman"/>
          <w:sz w:val="28"/>
          <w:szCs w:val="28"/>
          <w:lang w:eastAsia="en-US"/>
        </w:rPr>
      </w:pPr>
    </w:p>
    <w:p w:rsidR="00826938" w:rsidRPr="00C62A7E" w:rsidRDefault="00826938" w:rsidP="008C38F1">
      <w:pPr>
        <w:widowControl/>
        <w:ind w:firstLine="0"/>
        <w:rPr>
          <w:rFonts w:ascii="Times New Roman" w:eastAsiaTheme="minorHAnsi" w:hAnsi="Times New Roman" w:cs="Times New Roman"/>
          <w:sz w:val="28"/>
          <w:szCs w:val="28"/>
          <w:lang w:eastAsia="en-US"/>
        </w:rPr>
      </w:pPr>
    </w:p>
    <w:p w:rsidR="0021316A" w:rsidRPr="009E4A5A" w:rsidRDefault="0021316A" w:rsidP="0021316A">
      <w:pPr>
        <w:ind w:firstLine="0"/>
        <w:rPr>
          <w:rFonts w:ascii="Times New Roman" w:hAnsi="Times New Roman" w:cs="Times New Roman"/>
          <w:sz w:val="28"/>
          <w:szCs w:val="28"/>
        </w:rPr>
      </w:pPr>
      <w:r w:rsidRPr="009E4A5A">
        <w:rPr>
          <w:rFonts w:ascii="Times New Roman" w:hAnsi="Times New Roman" w:cs="Times New Roman"/>
          <w:sz w:val="28"/>
          <w:szCs w:val="28"/>
        </w:rPr>
        <w:t xml:space="preserve">Специалист 1 категории финансового отдела                               </w:t>
      </w:r>
    </w:p>
    <w:p w:rsidR="0021316A" w:rsidRPr="009E4A5A" w:rsidRDefault="0021316A" w:rsidP="0021316A">
      <w:pPr>
        <w:ind w:firstLine="0"/>
        <w:rPr>
          <w:rFonts w:ascii="Times New Roman" w:hAnsi="Times New Roman" w:cs="Times New Roman"/>
          <w:sz w:val="28"/>
          <w:szCs w:val="28"/>
        </w:rPr>
      </w:pPr>
      <w:r w:rsidRPr="009E4A5A">
        <w:rPr>
          <w:rFonts w:ascii="Times New Roman" w:hAnsi="Times New Roman" w:cs="Times New Roman"/>
          <w:sz w:val="28"/>
          <w:szCs w:val="28"/>
        </w:rPr>
        <w:t>администрации Старотитаровского</w:t>
      </w:r>
    </w:p>
    <w:p w:rsidR="0021316A" w:rsidRPr="009E4A5A" w:rsidRDefault="0021316A" w:rsidP="0021316A">
      <w:pPr>
        <w:ind w:firstLine="0"/>
        <w:jc w:val="left"/>
        <w:rPr>
          <w:rFonts w:ascii="Times New Roman" w:hAnsi="Times New Roman" w:cs="Times New Roman"/>
          <w:sz w:val="28"/>
          <w:szCs w:val="28"/>
        </w:rPr>
      </w:pPr>
      <w:r w:rsidRPr="009E4A5A">
        <w:rPr>
          <w:rFonts w:ascii="Times New Roman" w:hAnsi="Times New Roman" w:cs="Times New Roman"/>
          <w:sz w:val="28"/>
          <w:szCs w:val="28"/>
        </w:rPr>
        <w:t>сельского поселения Темрюкского района                        Н.В. Титаренко</w:t>
      </w:r>
    </w:p>
    <w:p w:rsidR="008C38F1" w:rsidRPr="008C38F1" w:rsidRDefault="008C38F1" w:rsidP="008C38F1">
      <w:pPr>
        <w:widowControl/>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Default="008C38F1"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bookmarkEnd w:id="0"/>
    <w:bookmarkEnd w:id="1"/>
    <w:p w:rsidR="00D046BF" w:rsidRPr="00D046BF" w:rsidRDefault="00D046BF" w:rsidP="00D046BF">
      <w:pPr>
        <w:jc w:val="right"/>
        <w:rPr>
          <w:rFonts w:ascii="Times New Roman" w:hAnsi="Times New Roman" w:cs="Times New Roman"/>
          <w:sz w:val="28"/>
        </w:rPr>
      </w:pPr>
    </w:p>
    <w:sectPr w:rsidR="00D046BF" w:rsidRPr="00D046BF" w:rsidSect="00716104">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712" w:rsidRDefault="00835712" w:rsidP="003B09B5">
      <w:r>
        <w:separator/>
      </w:r>
    </w:p>
  </w:endnote>
  <w:endnote w:type="continuationSeparator" w:id="0">
    <w:p w:rsidR="00835712" w:rsidRDefault="00835712"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712" w:rsidRDefault="00835712" w:rsidP="003B09B5">
      <w:r>
        <w:separator/>
      </w:r>
    </w:p>
  </w:footnote>
  <w:footnote w:type="continuationSeparator" w:id="0">
    <w:p w:rsidR="00835712" w:rsidRDefault="00835712"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6A7046">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21316A">
          <w:rPr>
            <w:rFonts w:ascii="Times New Roman" w:hAnsi="Times New Roman" w:cs="Times New Roman"/>
            <w:noProof/>
            <w:sz w:val="28"/>
            <w:szCs w:val="28"/>
          </w:rPr>
          <w:t>3</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B5175"/>
    <w:rsid w:val="001E7089"/>
    <w:rsid w:val="001F78DC"/>
    <w:rsid w:val="0021316A"/>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DED"/>
    <w:rsid w:val="002B4DB0"/>
    <w:rsid w:val="002B7D00"/>
    <w:rsid w:val="002C37ED"/>
    <w:rsid w:val="002C3CF4"/>
    <w:rsid w:val="002C4FFB"/>
    <w:rsid w:val="002D548B"/>
    <w:rsid w:val="002D57F5"/>
    <w:rsid w:val="002E0D23"/>
    <w:rsid w:val="002E1F15"/>
    <w:rsid w:val="002F213F"/>
    <w:rsid w:val="002F6240"/>
    <w:rsid w:val="00305FBB"/>
    <w:rsid w:val="00313CF8"/>
    <w:rsid w:val="00316F76"/>
    <w:rsid w:val="0032089B"/>
    <w:rsid w:val="003230FD"/>
    <w:rsid w:val="00325A0F"/>
    <w:rsid w:val="00325D57"/>
    <w:rsid w:val="00327C8E"/>
    <w:rsid w:val="00327D80"/>
    <w:rsid w:val="003441AA"/>
    <w:rsid w:val="00351BAE"/>
    <w:rsid w:val="00354930"/>
    <w:rsid w:val="00365C63"/>
    <w:rsid w:val="0036611F"/>
    <w:rsid w:val="003726D6"/>
    <w:rsid w:val="00376A5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2397"/>
    <w:rsid w:val="004236ED"/>
    <w:rsid w:val="00426D69"/>
    <w:rsid w:val="0042763C"/>
    <w:rsid w:val="00433063"/>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A7046"/>
    <w:rsid w:val="006B4872"/>
    <w:rsid w:val="006C2F09"/>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93B4F"/>
    <w:rsid w:val="00796DEC"/>
    <w:rsid w:val="007978D0"/>
    <w:rsid w:val="007A7E5A"/>
    <w:rsid w:val="007C28BF"/>
    <w:rsid w:val="007D599D"/>
    <w:rsid w:val="007F78F8"/>
    <w:rsid w:val="00802C97"/>
    <w:rsid w:val="0081332E"/>
    <w:rsid w:val="00817754"/>
    <w:rsid w:val="00826938"/>
    <w:rsid w:val="00832E18"/>
    <w:rsid w:val="00835712"/>
    <w:rsid w:val="00844E45"/>
    <w:rsid w:val="008474D5"/>
    <w:rsid w:val="00857FEC"/>
    <w:rsid w:val="00861336"/>
    <w:rsid w:val="0086561D"/>
    <w:rsid w:val="008662E9"/>
    <w:rsid w:val="00871D50"/>
    <w:rsid w:val="00880EC0"/>
    <w:rsid w:val="00883B90"/>
    <w:rsid w:val="00886A0A"/>
    <w:rsid w:val="008A709E"/>
    <w:rsid w:val="008C01F6"/>
    <w:rsid w:val="008C1261"/>
    <w:rsid w:val="008C1601"/>
    <w:rsid w:val="008C1FF6"/>
    <w:rsid w:val="008C38F1"/>
    <w:rsid w:val="008D42D2"/>
    <w:rsid w:val="008E5A7B"/>
    <w:rsid w:val="008E752C"/>
    <w:rsid w:val="008F179D"/>
    <w:rsid w:val="008F2D8B"/>
    <w:rsid w:val="0091488F"/>
    <w:rsid w:val="009217EB"/>
    <w:rsid w:val="00931DB4"/>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4E65"/>
    <w:rsid w:val="00B74E38"/>
    <w:rsid w:val="00B8296F"/>
    <w:rsid w:val="00B83A0C"/>
    <w:rsid w:val="00B90D0B"/>
    <w:rsid w:val="00B92946"/>
    <w:rsid w:val="00B95C37"/>
    <w:rsid w:val="00BA11AE"/>
    <w:rsid w:val="00BC31F0"/>
    <w:rsid w:val="00BD6CBD"/>
    <w:rsid w:val="00BE19BE"/>
    <w:rsid w:val="00BF1649"/>
    <w:rsid w:val="00BF2437"/>
    <w:rsid w:val="00C02404"/>
    <w:rsid w:val="00C05437"/>
    <w:rsid w:val="00C06C0B"/>
    <w:rsid w:val="00C104DF"/>
    <w:rsid w:val="00C14ADA"/>
    <w:rsid w:val="00C17D8E"/>
    <w:rsid w:val="00C24A82"/>
    <w:rsid w:val="00C34A5F"/>
    <w:rsid w:val="00C46299"/>
    <w:rsid w:val="00C47BCB"/>
    <w:rsid w:val="00C55FF7"/>
    <w:rsid w:val="00C60A24"/>
    <w:rsid w:val="00C62A7E"/>
    <w:rsid w:val="00C677D2"/>
    <w:rsid w:val="00C722E3"/>
    <w:rsid w:val="00C73CC0"/>
    <w:rsid w:val="00C95A4E"/>
    <w:rsid w:val="00CA1FE2"/>
    <w:rsid w:val="00CC1719"/>
    <w:rsid w:val="00CC6723"/>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5C04"/>
    <w:rsid w:val="00E20E88"/>
    <w:rsid w:val="00E24360"/>
    <w:rsid w:val="00E308A3"/>
    <w:rsid w:val="00E33120"/>
    <w:rsid w:val="00E435FF"/>
    <w:rsid w:val="00E462B9"/>
    <w:rsid w:val="00E5451B"/>
    <w:rsid w:val="00E6097C"/>
    <w:rsid w:val="00E73B2C"/>
    <w:rsid w:val="00E818D6"/>
    <w:rsid w:val="00EA49CD"/>
    <w:rsid w:val="00EA727B"/>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E6097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E6097C"/>
    <w:rPr>
      <w:b/>
      <w:bCs/>
      <w:color w:val="26282F"/>
    </w:rPr>
  </w:style>
  <w:style w:type="character" w:customStyle="1" w:styleId="a4">
    <w:name w:val="Гипертекстовая ссылка"/>
    <w:basedOn w:val="a3"/>
    <w:uiPriority w:val="99"/>
    <w:rsid w:val="00E6097C"/>
    <w:rPr>
      <w:b w:val="0"/>
      <w:bCs w:val="0"/>
      <w:color w:val="106BBE"/>
    </w:rPr>
  </w:style>
  <w:style w:type="character" w:customStyle="1" w:styleId="10">
    <w:name w:val="Заголовок 1 Знак"/>
    <w:basedOn w:val="a0"/>
    <w:link w:val="1"/>
    <w:uiPriority w:val="9"/>
    <w:rsid w:val="00E6097C"/>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E6097C"/>
    <w:pPr>
      <w:ind w:left="170" w:right="170" w:firstLine="0"/>
      <w:jc w:val="left"/>
    </w:pPr>
  </w:style>
  <w:style w:type="paragraph" w:customStyle="1" w:styleId="a6">
    <w:name w:val="Комментарий"/>
    <w:basedOn w:val="a5"/>
    <w:next w:val="a"/>
    <w:uiPriority w:val="99"/>
    <w:rsid w:val="00E6097C"/>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E6097C"/>
    <w:rPr>
      <w:i/>
      <w:iCs/>
    </w:rPr>
  </w:style>
  <w:style w:type="paragraph" w:customStyle="1" w:styleId="a8">
    <w:name w:val="Нормальный (таблица)"/>
    <w:basedOn w:val="a"/>
    <w:next w:val="a"/>
    <w:uiPriority w:val="99"/>
    <w:rsid w:val="00E6097C"/>
    <w:pPr>
      <w:ind w:firstLine="0"/>
    </w:pPr>
  </w:style>
  <w:style w:type="paragraph" w:customStyle="1" w:styleId="a9">
    <w:name w:val="Таблицы (моноширинный)"/>
    <w:basedOn w:val="a"/>
    <w:next w:val="a"/>
    <w:uiPriority w:val="99"/>
    <w:rsid w:val="00E6097C"/>
    <w:pPr>
      <w:ind w:firstLine="0"/>
      <w:jc w:val="left"/>
    </w:pPr>
    <w:rPr>
      <w:rFonts w:ascii="Courier New" w:hAnsi="Courier New" w:cs="Courier New"/>
    </w:rPr>
  </w:style>
  <w:style w:type="paragraph" w:customStyle="1" w:styleId="aa">
    <w:name w:val="Прижатый влево"/>
    <w:basedOn w:val="a"/>
    <w:next w:val="a"/>
    <w:uiPriority w:val="99"/>
    <w:rsid w:val="00E6097C"/>
    <w:pPr>
      <w:ind w:firstLine="0"/>
      <w:jc w:val="left"/>
    </w:pPr>
  </w:style>
  <w:style w:type="character" w:customStyle="1" w:styleId="ab">
    <w:name w:val="Цветовое выделение для Текст"/>
    <w:uiPriority w:val="99"/>
    <w:rsid w:val="00E6097C"/>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43306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1E5AF-33D0-4FCD-A350-29F6AEBB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888</Words>
  <Characters>5068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6</cp:revision>
  <cp:lastPrinted>2023-11-15T07:30:00Z</cp:lastPrinted>
  <dcterms:created xsi:type="dcterms:W3CDTF">2023-12-17T11:28:00Z</dcterms:created>
  <dcterms:modified xsi:type="dcterms:W3CDTF">2023-12-25T12:14:00Z</dcterms:modified>
</cp:coreProperties>
</file>