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A5FD5" w:rsidRPr="00DA5FD5" w:rsidRDefault="00456D89" w:rsidP="00A423E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A423EF"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DA5FD5" w:rsidRPr="00DA5FD5">
              <w:rPr>
                <w:kern w:val="1"/>
                <w:szCs w:val="28"/>
                <w:lang w:eastAsia="zh-CN"/>
              </w:rPr>
              <w:t>ПРИЛОЖЕНИЕ</w:t>
            </w:r>
            <w:r w:rsidR="005F4A5E">
              <w:rPr>
                <w:kern w:val="1"/>
                <w:szCs w:val="28"/>
                <w:lang w:eastAsia="zh-CN"/>
              </w:rPr>
              <w:t xml:space="preserve"> 1</w:t>
            </w:r>
            <w:r w:rsidR="00DA5FD5" w:rsidRPr="00DA5FD5">
              <w:rPr>
                <w:kern w:val="1"/>
                <w:szCs w:val="28"/>
                <w:lang w:eastAsia="zh-CN"/>
              </w:rPr>
              <w:t xml:space="preserve"> </w:t>
            </w:r>
          </w:p>
          <w:p w:rsidR="00DA5FD5" w:rsidRPr="00DA5FD5" w:rsidRDefault="00DA5FD5" w:rsidP="00DA5FD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DA5FD5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  <w:proofErr w:type="spellStart"/>
            <w:r w:rsidRPr="00DA5FD5">
              <w:rPr>
                <w:kern w:val="1"/>
                <w:szCs w:val="28"/>
                <w:lang w:eastAsia="zh-CN"/>
              </w:rPr>
              <w:t>Старотитаровского</w:t>
            </w:r>
            <w:proofErr w:type="spellEnd"/>
            <w:r w:rsidRPr="00DA5FD5">
              <w:rPr>
                <w:kern w:val="1"/>
                <w:szCs w:val="28"/>
                <w:lang w:eastAsia="zh-CN"/>
              </w:rPr>
              <w:t xml:space="preserve"> сельского поселения Темрюкского района</w:t>
            </w:r>
          </w:p>
          <w:p w:rsidR="00DA5FD5" w:rsidRPr="00F945BC" w:rsidRDefault="00DA5FD5" w:rsidP="008C61DD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DA5FD5">
              <w:rPr>
                <w:kern w:val="1"/>
                <w:szCs w:val="28"/>
                <w:lang w:eastAsia="zh-CN"/>
              </w:rPr>
              <w:t xml:space="preserve">от </w:t>
            </w:r>
            <w:r w:rsidR="008C61DD">
              <w:rPr>
                <w:kern w:val="1"/>
                <w:szCs w:val="28"/>
                <w:lang w:eastAsia="zh-CN"/>
              </w:rPr>
              <w:t>28.12.2023 года</w:t>
            </w:r>
            <w:r w:rsidR="008F1A82">
              <w:rPr>
                <w:kern w:val="1"/>
                <w:szCs w:val="28"/>
                <w:lang w:eastAsia="zh-CN"/>
              </w:rPr>
              <w:t xml:space="preserve"> </w:t>
            </w:r>
            <w:r w:rsidRPr="00DA5FD5">
              <w:rPr>
                <w:kern w:val="1"/>
                <w:szCs w:val="28"/>
                <w:lang w:eastAsia="zh-CN"/>
              </w:rPr>
              <w:t xml:space="preserve">№ </w:t>
            </w:r>
            <w:r w:rsidR="008C61DD">
              <w:rPr>
                <w:kern w:val="1"/>
                <w:szCs w:val="28"/>
                <w:lang w:eastAsia="zh-CN"/>
              </w:rPr>
              <w:t>321</w:t>
            </w:r>
            <w:r w:rsidRPr="00DA5FD5">
              <w:rPr>
                <w:kern w:val="1"/>
                <w:szCs w:val="28"/>
                <w:lang w:eastAsia="zh-CN"/>
              </w:rPr>
              <w:t>2</w:t>
            </w:r>
          </w:p>
        </w:tc>
      </w:tr>
    </w:tbl>
    <w:p w:rsidR="00DA5FD5" w:rsidRDefault="00DA5FD5" w:rsidP="00DA5FD5">
      <w:pPr>
        <w:suppressAutoHyphens/>
        <w:jc w:val="right"/>
        <w:rPr>
          <w:kern w:val="1"/>
          <w:szCs w:val="28"/>
          <w:lang w:eastAsia="zh-CN"/>
        </w:rPr>
      </w:pPr>
    </w:p>
    <w:p w:rsidR="00DA5FD5" w:rsidRPr="00EE5BAC" w:rsidRDefault="00DA5FD5" w:rsidP="00DA5FD5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bookmarkStart w:id="0" w:name="_GoBack"/>
      <w:bookmarkEnd w:id="0"/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proofErr w:type="spellStart"/>
      <w:r>
        <w:rPr>
          <w:kern w:val="1"/>
          <w:szCs w:val="28"/>
          <w:lang w:eastAsia="zh-CN"/>
        </w:rPr>
        <w:t>Старотитаровского</w:t>
      </w:r>
      <w:proofErr w:type="spellEnd"/>
      <w:r>
        <w:rPr>
          <w:kern w:val="1"/>
          <w:szCs w:val="28"/>
          <w:lang w:eastAsia="zh-CN"/>
        </w:rPr>
        <w:t xml:space="preserve">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A423EF">
        <w:rPr>
          <w:kern w:val="1"/>
          <w:szCs w:val="28"/>
          <w:lang w:eastAsia="zh-CN"/>
        </w:rPr>
        <w:t xml:space="preserve">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31.10.2022 г.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213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="00476008">
        <w:rPr>
          <w:b/>
          <w:spacing w:val="-12"/>
          <w:szCs w:val="28"/>
        </w:rPr>
        <w:t xml:space="preserve">«Муниципальная политика и </w:t>
      </w:r>
      <w:r w:rsidRPr="00DA00D1">
        <w:rPr>
          <w:b/>
          <w:spacing w:val="-12"/>
          <w:szCs w:val="28"/>
        </w:rPr>
        <w:t xml:space="preserve">развитие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="00476008">
        <w:rPr>
          <w:b/>
          <w:spacing w:val="-12"/>
          <w:szCs w:val="28"/>
        </w:rPr>
        <w:t xml:space="preserve">«Муниципальная политика и </w:t>
      </w:r>
      <w:r w:rsidRPr="00DA00D1">
        <w:rPr>
          <w:b/>
          <w:spacing w:val="-12"/>
          <w:szCs w:val="28"/>
        </w:rPr>
        <w:t xml:space="preserve">развитие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 xml:space="preserve">инансовый отдел администрации </w:t>
            </w:r>
            <w:proofErr w:type="spellStart"/>
            <w:r w:rsidRPr="0096600F">
              <w:rPr>
                <w:szCs w:val="28"/>
              </w:rPr>
              <w:t>Старотитаровского</w:t>
            </w:r>
            <w:proofErr w:type="spellEnd"/>
            <w:r w:rsidRPr="0096600F">
              <w:rPr>
                <w:szCs w:val="28"/>
              </w:rPr>
              <w:t xml:space="preserve">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 xml:space="preserve">- отдел по имущественным отношениям и вопросам ЖКХ администрации </w:t>
            </w:r>
            <w:proofErr w:type="spellStart"/>
            <w:r w:rsidRPr="0096600F">
              <w:rPr>
                <w:szCs w:val="28"/>
              </w:rPr>
              <w:t>Старотитаровского</w:t>
            </w:r>
            <w:proofErr w:type="spellEnd"/>
            <w:r w:rsidRPr="0096600F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 xml:space="preserve">Администрация </w:t>
            </w:r>
            <w:proofErr w:type="spellStart"/>
            <w:r w:rsidRPr="00B64B51">
              <w:rPr>
                <w:szCs w:val="28"/>
              </w:rPr>
              <w:t>Старотитаровского</w:t>
            </w:r>
            <w:proofErr w:type="spellEnd"/>
            <w:r w:rsidRPr="00B64B51">
              <w:rPr>
                <w:szCs w:val="28"/>
              </w:rPr>
              <w:t xml:space="preserve">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 xml:space="preserve">. Подпрограмма «Поддержка деятельности территориального общественного </w:t>
            </w:r>
            <w:proofErr w:type="gramStart"/>
            <w:r w:rsidRPr="00E823BE">
              <w:rPr>
                <w:szCs w:val="28"/>
              </w:rPr>
              <w:t>самоуправления  на</w:t>
            </w:r>
            <w:proofErr w:type="gramEnd"/>
            <w:r w:rsidRPr="00E823BE">
              <w:rPr>
                <w:szCs w:val="28"/>
              </w:rPr>
              <w:t xml:space="preserve"> территории </w:t>
            </w:r>
            <w:proofErr w:type="spellStart"/>
            <w:r w:rsidRPr="00E823BE">
              <w:rPr>
                <w:szCs w:val="28"/>
              </w:rPr>
              <w:t>Старотитаровского</w:t>
            </w:r>
            <w:proofErr w:type="spellEnd"/>
            <w:r w:rsidRPr="00E823BE">
              <w:rPr>
                <w:szCs w:val="28"/>
              </w:rPr>
              <w:t xml:space="preserve"> сельского поселения Темрюкского района»;</w:t>
            </w:r>
          </w:p>
          <w:p w:rsidR="00EE69F0" w:rsidRDefault="00A11648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E69F0" w:rsidRPr="00E823BE">
              <w:rPr>
                <w:szCs w:val="28"/>
              </w:rPr>
              <w:t>. Подпрограмма «</w:t>
            </w:r>
            <w:r w:rsidR="00EE69F0" w:rsidRPr="00E823BE">
              <w:t xml:space="preserve">Реализация муниципальной политики в сфере приватизации муниципального имущества </w:t>
            </w:r>
            <w:proofErr w:type="spellStart"/>
            <w:r w:rsidR="00EE69F0" w:rsidRPr="00E823BE">
              <w:t>Старотитаровского</w:t>
            </w:r>
            <w:proofErr w:type="spellEnd"/>
            <w:r w:rsidR="00EE69F0" w:rsidRPr="00E823BE">
              <w:t xml:space="preserve"> сельского поселения Темрюкского района</w:t>
            </w:r>
            <w:r w:rsidR="00EE69F0"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</w:t>
            </w:r>
            <w:proofErr w:type="spellStart"/>
            <w:r w:rsidRPr="0010064A">
              <w:t>Старотитаровского</w:t>
            </w:r>
            <w:proofErr w:type="spellEnd"/>
            <w:r w:rsidRPr="0010064A">
              <w:t xml:space="preserve">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</w:t>
            </w:r>
            <w:proofErr w:type="spellStart"/>
            <w:r w:rsidRPr="008C2B7A">
              <w:rPr>
                <w:szCs w:val="28"/>
              </w:rPr>
              <w:t>Старотитаровского</w:t>
            </w:r>
            <w:proofErr w:type="spellEnd"/>
            <w:r w:rsidRPr="008C2B7A">
              <w:rPr>
                <w:szCs w:val="28"/>
              </w:rPr>
              <w:t xml:space="preserve">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района;</w:t>
            </w:r>
          </w:p>
          <w:p w:rsidR="00EE69F0" w:rsidRPr="009F22D5" w:rsidRDefault="00EE69F0" w:rsidP="004579DE">
            <w:pPr>
              <w:contextualSpacing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компенсационные выплаты </w:t>
            </w:r>
            <w:proofErr w:type="gramStart"/>
            <w:r w:rsidRPr="004E3B65">
              <w:rPr>
                <w:szCs w:val="28"/>
              </w:rPr>
              <w:t>руководителям  органов</w:t>
            </w:r>
            <w:proofErr w:type="gramEnd"/>
            <w:r w:rsidRPr="004E3B65">
              <w:rPr>
                <w:szCs w:val="28"/>
              </w:rPr>
              <w:t xml:space="preserve">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EE69F0" w:rsidRPr="000C3C23" w:rsidRDefault="00EE69F0" w:rsidP="00412D1C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</w:t>
            </w:r>
            <w:r w:rsidRPr="00190885">
              <w:rPr>
                <w:szCs w:val="28"/>
              </w:rPr>
              <w:lastRenderedPageBreak/>
              <w:t xml:space="preserve">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224E9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512,5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224E90" w:rsidP="00385757">
            <w:pPr>
              <w:pStyle w:val="ConsPlusNormal0"/>
              <w:jc w:val="center"/>
              <w:rPr>
                <w:szCs w:val="28"/>
              </w:rPr>
            </w:pPr>
            <w:r w:rsidRPr="00224E90">
              <w:rPr>
                <w:szCs w:val="28"/>
              </w:rPr>
              <w:t>512,5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38575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224E90" w:rsidP="00F9512D">
            <w:pPr>
              <w:pStyle w:val="ConsPlusNormal0"/>
              <w:jc w:val="center"/>
              <w:rPr>
                <w:szCs w:val="28"/>
              </w:rPr>
            </w:pPr>
            <w:r w:rsidRPr="00224E90">
              <w:rPr>
                <w:szCs w:val="28"/>
              </w:rPr>
              <w:t>512,5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224E90" w:rsidP="00385757">
            <w:pPr>
              <w:pStyle w:val="ConsPlusNormal0"/>
              <w:jc w:val="center"/>
              <w:rPr>
                <w:szCs w:val="28"/>
              </w:rPr>
            </w:pPr>
            <w:r w:rsidRPr="00224E90">
              <w:rPr>
                <w:szCs w:val="28"/>
              </w:rPr>
              <w:t>512,5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 xml:space="preserve">«Поддержка деятельности территориального общественного самоуправления  на территории </w:t>
            </w:r>
            <w:proofErr w:type="spellStart"/>
            <w:r w:rsidRPr="00107AF9">
              <w:rPr>
                <w:szCs w:val="28"/>
              </w:rPr>
              <w:t>Старотитаровского</w:t>
            </w:r>
            <w:proofErr w:type="spellEnd"/>
            <w:r w:rsidRPr="00107AF9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B52CD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 xml:space="preserve">Реализация муниципальной политики в сфере приватизации муниципального имущества </w:t>
            </w:r>
            <w:proofErr w:type="spellStart"/>
            <w:r w:rsidRPr="007B1928">
              <w:t>Старотитаровского</w:t>
            </w:r>
            <w:proofErr w:type="spellEnd"/>
            <w:r w:rsidRPr="007B1928">
              <w:t xml:space="preserve">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B52CD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E69F0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«Поддержка деятельности территориального общественного </w:t>
            </w:r>
            <w:proofErr w:type="gramStart"/>
            <w:r w:rsidRPr="00215EF9">
              <w:rPr>
                <w:sz w:val="24"/>
                <w:szCs w:val="24"/>
              </w:rPr>
              <w:t>самоуправления  на</w:t>
            </w:r>
            <w:proofErr w:type="gramEnd"/>
            <w:r w:rsidRPr="00215EF9">
              <w:rPr>
                <w:sz w:val="24"/>
                <w:szCs w:val="24"/>
              </w:rPr>
              <w:t xml:space="preserve"> территории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B52C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B52C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69F0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proofErr w:type="spellStart"/>
      <w:r>
        <w:t>Старотитаровского</w:t>
      </w:r>
      <w:proofErr w:type="spellEnd"/>
      <w:r>
        <w:t xml:space="preserve">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16103B">
        <w:rPr>
          <w:szCs w:val="28"/>
          <w:lang w:eastAsia="ar-SA"/>
        </w:rPr>
        <w:t>Старотитаровского</w:t>
      </w:r>
      <w:proofErr w:type="spellEnd"/>
      <w:r w:rsidRPr="0016103B">
        <w:rPr>
          <w:szCs w:val="28"/>
          <w:lang w:eastAsia="ar-SA"/>
        </w:rPr>
        <w:t xml:space="preserve">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8B" w:rsidRDefault="00F6018B" w:rsidP="00EF6F81">
      <w:r>
        <w:separator/>
      </w:r>
    </w:p>
  </w:endnote>
  <w:endnote w:type="continuationSeparator" w:id="0">
    <w:p w:rsidR="00F6018B" w:rsidRDefault="00F6018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8B" w:rsidRDefault="00F6018B" w:rsidP="00EF6F81">
      <w:r>
        <w:separator/>
      </w:r>
    </w:p>
  </w:footnote>
  <w:footnote w:type="continuationSeparator" w:id="0">
    <w:p w:rsidR="00F6018B" w:rsidRDefault="00F6018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46A2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23B6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2090"/>
    <w:rsid w:val="00214AAC"/>
    <w:rsid w:val="00215EF9"/>
    <w:rsid w:val="00216964"/>
    <w:rsid w:val="00217311"/>
    <w:rsid w:val="002175EF"/>
    <w:rsid w:val="00223300"/>
    <w:rsid w:val="00224960"/>
    <w:rsid w:val="00224E90"/>
    <w:rsid w:val="00225134"/>
    <w:rsid w:val="00225687"/>
    <w:rsid w:val="00226953"/>
    <w:rsid w:val="00226E2F"/>
    <w:rsid w:val="0023010F"/>
    <w:rsid w:val="00230B23"/>
    <w:rsid w:val="00233531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295"/>
    <w:rsid w:val="003E0EC0"/>
    <w:rsid w:val="003E2B65"/>
    <w:rsid w:val="003E500C"/>
    <w:rsid w:val="003E51DA"/>
    <w:rsid w:val="004019AF"/>
    <w:rsid w:val="00401C77"/>
    <w:rsid w:val="004058C3"/>
    <w:rsid w:val="00405F4C"/>
    <w:rsid w:val="00412D1C"/>
    <w:rsid w:val="00413494"/>
    <w:rsid w:val="00424008"/>
    <w:rsid w:val="004258A2"/>
    <w:rsid w:val="00434175"/>
    <w:rsid w:val="004408E3"/>
    <w:rsid w:val="0044102D"/>
    <w:rsid w:val="00441A14"/>
    <w:rsid w:val="00441B89"/>
    <w:rsid w:val="00443E1A"/>
    <w:rsid w:val="00446417"/>
    <w:rsid w:val="00455355"/>
    <w:rsid w:val="00455F5C"/>
    <w:rsid w:val="00456D89"/>
    <w:rsid w:val="004579DE"/>
    <w:rsid w:val="0046097C"/>
    <w:rsid w:val="0046202F"/>
    <w:rsid w:val="00465E45"/>
    <w:rsid w:val="00466490"/>
    <w:rsid w:val="00467446"/>
    <w:rsid w:val="00470DA3"/>
    <w:rsid w:val="00472B1D"/>
    <w:rsid w:val="00476008"/>
    <w:rsid w:val="004816D5"/>
    <w:rsid w:val="00484E94"/>
    <w:rsid w:val="004852C0"/>
    <w:rsid w:val="00487F47"/>
    <w:rsid w:val="00491923"/>
    <w:rsid w:val="00494A1C"/>
    <w:rsid w:val="004A2815"/>
    <w:rsid w:val="004A51A1"/>
    <w:rsid w:val="004A542A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4F081A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97DC3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0917"/>
    <w:rsid w:val="005F4A5E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7285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61DD"/>
    <w:rsid w:val="008C7F0B"/>
    <w:rsid w:val="008D1ADA"/>
    <w:rsid w:val="008D280A"/>
    <w:rsid w:val="008D361C"/>
    <w:rsid w:val="008E229A"/>
    <w:rsid w:val="008E3869"/>
    <w:rsid w:val="008E39E4"/>
    <w:rsid w:val="008E65A9"/>
    <w:rsid w:val="008F1A82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495D"/>
    <w:rsid w:val="00976FE4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1648"/>
    <w:rsid w:val="00A1507B"/>
    <w:rsid w:val="00A23788"/>
    <w:rsid w:val="00A30B42"/>
    <w:rsid w:val="00A30FFE"/>
    <w:rsid w:val="00A35B08"/>
    <w:rsid w:val="00A423EF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256"/>
    <w:rsid w:val="00AF7ACB"/>
    <w:rsid w:val="00B00865"/>
    <w:rsid w:val="00B07228"/>
    <w:rsid w:val="00B12FB3"/>
    <w:rsid w:val="00B14330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2CD8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3534D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84CE6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3D5A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5791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FD5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0542C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670FB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18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691"/>
    <w:rsid w:val="00FC2799"/>
    <w:rsid w:val="00FC317E"/>
    <w:rsid w:val="00FD34F6"/>
    <w:rsid w:val="00FD486E"/>
    <w:rsid w:val="00FD579D"/>
    <w:rsid w:val="00FF688B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06339B"/>
  <w15:docId w15:val="{53EB9825-569A-40A6-9620-072B0849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2425</TotalTime>
  <Pages>9</Pages>
  <Words>1646</Words>
  <Characters>9383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238</cp:revision>
  <cp:lastPrinted>2021-06-11T06:36:00Z</cp:lastPrinted>
  <dcterms:created xsi:type="dcterms:W3CDTF">2018-08-07T11:48:00Z</dcterms:created>
  <dcterms:modified xsi:type="dcterms:W3CDTF">2023-12-29T10:50:00Z</dcterms:modified>
</cp:coreProperties>
</file>